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17E8" w14:textId="268C965B" w:rsidR="00A34EFB" w:rsidRPr="0010104E" w:rsidRDefault="00BC5CBB">
      <w:pPr>
        <w:jc w:val="center"/>
        <w:rPr>
          <w:rFonts w:asciiTheme="majorHAnsi" w:eastAsia="Calibri" w:hAnsiTheme="majorHAnsi" w:cstheme="majorHAnsi"/>
          <w:b/>
          <w:sz w:val="28"/>
          <w:szCs w:val="28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softHyphen/>
      </w:r>
      <w:r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softHyphen/>
      </w:r>
      <w:r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softHyphen/>
      </w:r>
      <w:r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softHyphen/>
      </w:r>
      <w:r w:rsidR="004631B8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>Solicitud de</w:t>
      </w:r>
      <w:r w:rsidR="008B57B6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 xml:space="preserve"> </w:t>
      </w:r>
      <w:r w:rsidR="008532BA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>Actualización</w:t>
      </w:r>
      <w:r w:rsidR="008B57B6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 xml:space="preserve"> del</w:t>
      </w:r>
      <w:r w:rsidR="004631B8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 xml:space="preserve"> Plan Orgánico de </w:t>
      </w:r>
      <w:proofErr w:type="spellStart"/>
      <w:r w:rsidR="004631B8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>Oregon</w:t>
      </w:r>
      <w:proofErr w:type="spellEnd"/>
      <w:r w:rsidR="004631B8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 xml:space="preserve"> </w:t>
      </w:r>
      <w:proofErr w:type="spellStart"/>
      <w:r w:rsidR="004631B8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>Tilth</w:t>
      </w:r>
      <w:proofErr w:type="spellEnd"/>
      <w:r w:rsidR="004631B8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 xml:space="preserve"> </w:t>
      </w:r>
    </w:p>
    <w:p w14:paraId="7E94D54D" w14:textId="6CE39555" w:rsidR="00A34EFB" w:rsidRPr="0010104E" w:rsidRDefault="004631B8">
      <w:pPr>
        <w:jc w:val="center"/>
        <w:rPr>
          <w:rFonts w:asciiTheme="majorHAnsi" w:eastAsia="Calibri" w:hAnsiTheme="majorHAnsi" w:cstheme="majorHAnsi"/>
          <w:b/>
          <w:sz w:val="28"/>
          <w:szCs w:val="28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 xml:space="preserve">Apéndice de </w:t>
      </w:r>
      <w:r w:rsidR="008B57B6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>P</w:t>
      </w:r>
      <w:r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 xml:space="preserve">rogramas </w:t>
      </w:r>
      <w:r w:rsidR="008B57B6"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>I</w:t>
      </w:r>
      <w:r w:rsidRPr="0010104E">
        <w:rPr>
          <w:rFonts w:asciiTheme="majorHAnsi" w:eastAsia="Calibri" w:hAnsiTheme="majorHAnsi" w:cstheme="majorHAnsi"/>
          <w:b/>
          <w:bCs/>
          <w:sz w:val="28"/>
          <w:szCs w:val="28"/>
          <w:lang w:val="es-ES"/>
        </w:rPr>
        <w:t>nternacionales</w:t>
      </w:r>
    </w:p>
    <w:tbl>
      <w:tblPr>
        <w:tblW w:w="106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92"/>
        <w:gridCol w:w="4590"/>
        <w:gridCol w:w="990"/>
        <w:gridCol w:w="1350"/>
        <w:gridCol w:w="720"/>
        <w:gridCol w:w="1280"/>
      </w:tblGrid>
      <w:tr w:rsidR="00197397" w:rsidRPr="00E1466C" w14:paraId="14444CC9" w14:textId="77777777" w:rsidTr="00205334">
        <w:trPr>
          <w:trHeight w:val="330"/>
        </w:trPr>
        <w:tc>
          <w:tcPr>
            <w:tcW w:w="1692" w:type="dxa"/>
          </w:tcPr>
          <w:p w14:paraId="2EC7E9C1" w14:textId="77777777" w:rsidR="00205334" w:rsidRPr="0010104E" w:rsidRDefault="004631B8" w:rsidP="00C12FA8">
            <w:pPr>
              <w:spacing w:before="120"/>
              <w:ind w:right="-43"/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lang w:val="es-ES"/>
              </w:rPr>
            </w:pPr>
            <w:r w:rsidRPr="001010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  <w:t>Nombre legal de la empresa</w:t>
            </w:r>
            <w:r w:rsidRPr="0010104E">
              <w:rPr>
                <w:rFonts w:asciiTheme="majorHAnsi" w:eastAsia="Calibri" w:hAnsiTheme="majorHAnsi" w:cstheme="majorHAnsi"/>
                <w:sz w:val="20"/>
                <w:szCs w:val="20"/>
                <w:lang w:val="es-ES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65F517A" w14:textId="1758E064" w:rsidR="00205334" w:rsidRPr="0010104E" w:rsidRDefault="00BC5CBB" w:rsidP="00165EC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10104E">
              <w:rPr>
                <w:rFonts w:asciiTheme="majorHAnsi" w:hAnsiTheme="majorHAnsi" w:cstheme="majorHAnsi"/>
                <w:spacing w:val="-10"/>
                <w:sz w:val="20"/>
                <w:szCs w:val="20"/>
                <w:lang w:val="es-ES"/>
              </w:rPr>
              <w:softHyphen/>
            </w:r>
            <w:r w:rsidRPr="0010104E">
              <w:rPr>
                <w:rFonts w:asciiTheme="majorHAnsi" w:hAnsiTheme="majorHAnsi" w:cstheme="majorHAnsi"/>
                <w:spacing w:val="-10"/>
                <w:sz w:val="20"/>
                <w:szCs w:val="20"/>
                <w:lang w:val="es-ES"/>
              </w:rPr>
              <w:softHyphen/>
            </w:r>
            <w:r w:rsidR="00A7661D" w:rsidRPr="00E657C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A7661D" w:rsidRPr="00E657C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instrText xml:space="preserve"> FORMTEXT </w:instrText>
            </w:r>
            <w:r w:rsidR="00A7661D" w:rsidRPr="00E657C3">
              <w:rPr>
                <w:rFonts w:asciiTheme="majorHAnsi" w:hAnsiTheme="majorHAnsi" w:cstheme="majorHAnsi"/>
                <w:sz w:val="20"/>
                <w:szCs w:val="20"/>
                <w:lang w:val="es-ES"/>
              </w:rPr>
            </w:r>
            <w:r w:rsidR="00A7661D" w:rsidRPr="00E657C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separate"/>
            </w:r>
            <w:r w:rsidR="00162300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 </w:t>
            </w:r>
            <w:r w:rsidR="00A7661D" w:rsidRPr="00E657C3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E400E86" w14:textId="77777777" w:rsidR="0094053B" w:rsidRPr="0010104E" w:rsidRDefault="0094053B" w:rsidP="00C12FA8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</w:pPr>
          </w:p>
          <w:p w14:paraId="51C59048" w14:textId="1061AD3F" w:rsidR="00205334" w:rsidRPr="0010104E" w:rsidRDefault="004631B8" w:rsidP="00C12FA8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1010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  <w:t>OTCO ID:</w:t>
            </w:r>
            <w:r w:rsidRPr="0010104E">
              <w:rPr>
                <w:rFonts w:asciiTheme="majorHAnsi" w:eastAsia="Calibri" w:hAnsiTheme="majorHAnsi" w:cstheme="maj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95581A" w14:textId="77777777" w:rsidR="0094053B" w:rsidRPr="0010104E" w:rsidRDefault="0094053B" w:rsidP="00165ECE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233D07A1" w14:textId="23D32245" w:rsidR="00165ECE" w:rsidRPr="0010104E" w:rsidRDefault="00165ECE" w:rsidP="00165ECE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instrText xml:space="preserve"> FORMTEXT </w:instrText>
            </w: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</w: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separate"/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720" w:type="dxa"/>
          </w:tcPr>
          <w:p w14:paraId="2E88211D" w14:textId="77777777" w:rsidR="0094053B" w:rsidRPr="0010104E" w:rsidRDefault="0094053B" w:rsidP="00C12FA8">
            <w:pPr>
              <w:spacing w:before="60"/>
              <w:ind w:left="-108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</w:pPr>
          </w:p>
          <w:p w14:paraId="775A6D6C" w14:textId="4BEBC241" w:rsidR="00205334" w:rsidRPr="0010104E" w:rsidRDefault="004631B8" w:rsidP="00C12FA8">
            <w:pPr>
              <w:spacing w:before="60"/>
              <w:ind w:left="-108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1010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427FDCDB" w14:textId="77777777" w:rsidR="0094053B" w:rsidRPr="0010104E" w:rsidRDefault="0094053B" w:rsidP="00165ECE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324C271" w14:textId="5021544C" w:rsidR="00205334" w:rsidRPr="0010104E" w:rsidRDefault="004631B8" w:rsidP="00165ECE">
            <w:pPr>
              <w:spacing w:before="6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instrText xml:space="preserve"> FORMTEXT </w:instrText>
            </w: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</w: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separate"/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Pr="0010104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B42656E" w14:textId="77777777" w:rsidR="00B814E2" w:rsidRPr="0010104E" w:rsidRDefault="004631B8">
      <w:pPr>
        <w:jc w:val="center"/>
        <w:rPr>
          <w:rFonts w:asciiTheme="majorHAnsi" w:eastAsia="Calibri" w:hAnsiTheme="majorHAnsi" w:cstheme="majorHAnsi"/>
          <w:b/>
          <w:sz w:val="28"/>
          <w:szCs w:val="28"/>
          <w:lang w:val="es-ES"/>
        </w:rPr>
      </w:pPr>
      <w:r w:rsidRPr="0010104E">
        <w:rPr>
          <w:rFonts w:asciiTheme="majorHAnsi" w:hAnsiTheme="majorHAnsi" w:cstheme="majorHAnsi"/>
          <w:noProof/>
          <w:lang w:val="es-ES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E475E7" wp14:editId="108BCF7A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940550" cy="499533"/>
                <wp:effectExtent l="0" t="0" r="1905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49953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 w14:anchorId="7F4DE7F9">
              <v:rect id="Rectangle 2" style="position:absolute;margin-left:0;margin-top:11.5pt;width:546.5pt;height:3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2f2f2" w14:anchorId="7027CF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">
                <v:shadow color="black" opacity="22936f" offset="0,.63889mm" origin=",.5"/>
              </v:rect>
            </w:pict>
          </mc:Fallback>
        </mc:AlternateContent>
      </w:r>
    </w:p>
    <w:p w14:paraId="5D39FF75" w14:textId="74BD2C93" w:rsidR="00A34EFB" w:rsidRPr="0010104E" w:rsidRDefault="00CB5F7D" w:rsidP="00524079">
      <w:pPr>
        <w:spacing w:before="60"/>
        <w:ind w:left="360" w:right="180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  <w:lang w:val="es-ES"/>
        </w:rPr>
      </w:pPr>
      <w:r w:rsidRPr="003622D1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Firme </w:t>
      </w:r>
      <w:r w:rsidR="004631B8" w:rsidRPr="003622D1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>y envíe este apéndice si eligió los servicios de</w:t>
      </w:r>
      <w:r w:rsidR="00337C7B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 la Unión Europea (EU)</w:t>
      </w:r>
      <w:r w:rsidR="004631B8" w:rsidRPr="003622D1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 y/o Programa Orgánico de México (LPO) en el </w:t>
      </w:r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Paso </w:t>
      </w:r>
      <w:r w:rsidR="003622D1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>3</w:t>
      </w:r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 del </w:t>
      </w:r>
      <w:r w:rsidR="005A0E59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>formato</w:t>
      </w:r>
      <w:r w:rsidR="005A0E59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 </w:t>
      </w:r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de solicitud </w:t>
      </w:r>
      <w:r w:rsidR="003622D1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y acuerdo </w:t>
      </w:r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de actualización del </w:t>
      </w:r>
      <w:r w:rsidR="003622D1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>p</w:t>
      </w:r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lan orgánico (OSP) de </w:t>
      </w:r>
      <w:proofErr w:type="spellStart"/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>Oregon</w:t>
      </w:r>
      <w:proofErr w:type="spellEnd"/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 </w:t>
      </w:r>
      <w:proofErr w:type="spellStart"/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>Tilth</w:t>
      </w:r>
      <w:proofErr w:type="spellEnd"/>
      <w:r w:rsidR="004631B8" w:rsidRPr="0031546F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>.</w:t>
      </w:r>
    </w:p>
    <w:p w14:paraId="150A04D2" w14:textId="77777777" w:rsidR="00A34EFB" w:rsidRPr="0010104E" w:rsidRDefault="00A34EFB">
      <w:pPr>
        <w:spacing w:before="60"/>
        <w:rPr>
          <w:rFonts w:asciiTheme="majorHAnsi" w:eastAsia="Calibri" w:hAnsiTheme="majorHAnsi" w:cstheme="majorHAnsi"/>
          <w:b/>
          <w:sz w:val="22"/>
          <w:szCs w:val="22"/>
          <w:u w:val="single"/>
          <w:lang w:val="es-ES"/>
        </w:rPr>
      </w:pPr>
    </w:p>
    <w:p w14:paraId="3C67B38C" w14:textId="4793A160" w:rsidR="00A34EFB" w:rsidRPr="0010104E" w:rsidRDefault="004631B8">
      <w:pPr>
        <w:spacing w:before="60"/>
        <w:rPr>
          <w:rFonts w:asciiTheme="majorHAnsi" w:eastAsia="Calibri" w:hAnsiTheme="majorHAnsi" w:cstheme="majorHAnsi"/>
          <w:b/>
          <w:sz w:val="22"/>
          <w:szCs w:val="22"/>
          <w:u w:val="single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Sección 1: </w:t>
      </w:r>
      <w:r w:rsidR="00055D6A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Solamente p</w:t>
      </w:r>
      <w:r w:rsidR="00055D6A"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ara </w:t>
      </w: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el Programa Orgánico de México (LPO):</w:t>
      </w:r>
    </w:p>
    <w:p w14:paraId="025DD22A" w14:textId="77777777" w:rsidR="00BD1F33" w:rsidRPr="0010104E" w:rsidRDefault="00BD1F33" w:rsidP="0010104E">
      <w:pPr>
        <w:rPr>
          <w:rFonts w:asciiTheme="majorHAnsi" w:hAnsiTheme="majorHAnsi" w:cstheme="majorHAnsi"/>
          <w:color w:val="0070C0"/>
          <w:sz w:val="20"/>
          <w:szCs w:val="20"/>
          <w:lang w:val="es-ES"/>
        </w:rPr>
      </w:pPr>
    </w:p>
    <w:p w14:paraId="03FDE4E7" w14:textId="1EC537E7" w:rsidR="00A34EFB" w:rsidRPr="0010104E" w:rsidRDefault="00453DAE" w:rsidP="00B814E2">
      <w:pPr>
        <w:numPr>
          <w:ilvl w:val="0"/>
          <w:numId w:val="5"/>
        </w:numPr>
        <w:spacing w:before="60"/>
        <w:ind w:left="630" w:hanging="450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Requ</w:t>
      </w:r>
      <w:r w:rsidRPr="00E1466C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isitos adicionales </w:t>
      </w:r>
      <w:r w:rsidR="004631B8"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de recolección de datos</w:t>
      </w:r>
    </w:p>
    <w:p w14:paraId="3E433009" w14:textId="5BA1313A" w:rsidR="00A34EFB" w:rsidRPr="0010104E" w:rsidRDefault="00BD1F33" w:rsidP="00524079">
      <w:pPr>
        <w:spacing w:before="60"/>
        <w:ind w:left="900" w:hanging="27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Por este medio c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onfirmo que mi operación proporcionará la información requerida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y solicitada a </w:t>
      </w:r>
      <w:r w:rsidR="002E0A01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continuación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a OTCO durante su inspección anual y cuando solicite una actualización a mitad del año a su OSP este año:</w:t>
      </w:r>
    </w:p>
    <w:p w14:paraId="32969300" w14:textId="29F2CC83" w:rsidR="00A34EFB" w:rsidRPr="0010104E" w:rsidRDefault="00463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Para operaciones de </w:t>
      </w:r>
      <w:r w:rsidR="00360A10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producción de cultivos</w:t>
      </w:r>
      <w:r w:rsidR="00075B24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(incluidos </w:t>
      </w:r>
      <w:r w:rsidR="00453DAE" w:rsidRPr="00E1466C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los fungí</w:t>
      </w:r>
      <w:r w:rsidR="00075B24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)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, 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organizadas </w:t>
      </w:r>
      <w:r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 xml:space="preserve">por </w:t>
      </w:r>
      <w:r w:rsidR="00982E0B"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>c</w:t>
      </w:r>
      <w:r w:rsidR="00982E0B" w:rsidRPr="00E1466C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>ul</w:t>
      </w:r>
      <w:r w:rsidR="00982E0B" w:rsidRPr="00B37B76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>tivo</w:t>
      </w:r>
      <w:r w:rsidR="00982E0B"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 xml:space="preserve">y </w:t>
      </w:r>
      <w:r w:rsidR="00360A10"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>parcela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:</w:t>
      </w:r>
    </w:p>
    <w:p w14:paraId="559236A6" w14:textId="46ABC718" w:rsidR="00A34EFB" w:rsidRPr="0010104E" w:rsidRDefault="004631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Área actualmente en producción (hectáreas) </w:t>
      </w:r>
      <w:r w:rsidR="00453DAE" w:rsidRPr="00E1466C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</w:t>
      </w:r>
    </w:p>
    <w:p w14:paraId="65475B5D" w14:textId="629C819F" w:rsidR="00A34EFB" w:rsidRPr="0010104E" w:rsidRDefault="00360A1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Rendimiento </w:t>
      </w:r>
      <w:r w:rsidR="004631B8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proyectad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o</w:t>
      </w:r>
      <w:r w:rsidR="004631B8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por hectárea (kilogramos únicamente)</w:t>
      </w:r>
    </w:p>
    <w:p w14:paraId="7D88EF8C" w14:textId="5ECE5429" w:rsidR="00A34EFB" w:rsidRPr="0010104E" w:rsidRDefault="004631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Ciclos de producción - </w:t>
      </w:r>
      <w:r w:rsidR="005A0E59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primavera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, verano, otoño, inv</w:t>
      </w:r>
      <w:r w:rsidR="005A0E59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i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erno, perenne</w:t>
      </w:r>
    </w:p>
    <w:p w14:paraId="7DBF550A" w14:textId="77777777" w:rsidR="00A34EFB" w:rsidRPr="0010104E" w:rsidRDefault="004631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Coordenadas geográficas (puntos decimales)</w:t>
      </w:r>
    </w:p>
    <w:p w14:paraId="302E54C6" w14:textId="0B654B2C" w:rsidR="00A34EFB" w:rsidRPr="0010104E" w:rsidRDefault="004631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Domicilio físico de cada unidad de producción (</w:t>
      </w:r>
      <w:r w:rsidR="00360A10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parcela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)</w:t>
      </w:r>
    </w:p>
    <w:p w14:paraId="7EC01DCB" w14:textId="74CA5572" w:rsidR="00075B24" w:rsidRPr="0010104E" w:rsidRDefault="00075B24" w:rsidP="00075B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Para operaciones de producción que produzcan semillas y </w:t>
      </w:r>
      <w:r w:rsidRPr="004F4EFA">
        <w:rPr>
          <w:rFonts w:asciiTheme="majorHAnsi" w:eastAsia="Calibri" w:hAnsiTheme="majorHAnsi" w:cstheme="majorHAnsi"/>
          <w:sz w:val="20"/>
          <w:szCs w:val="20"/>
          <w:lang w:val="es-ES"/>
        </w:rPr>
        <w:t>material</w:t>
      </w:r>
      <w:r w:rsidR="004F4EF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vegetativo (material de siembra)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055D6A">
        <w:rPr>
          <w:rFonts w:asciiTheme="majorHAnsi" w:eastAsia="Calibri" w:hAnsiTheme="majorHAnsi" w:cstheme="majorHAnsi"/>
          <w:sz w:val="20"/>
          <w:szCs w:val="20"/>
          <w:lang w:val="es-ES"/>
        </w:rPr>
        <w:t>para la venta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comercial, organizadas </w:t>
      </w:r>
      <w:r w:rsidRPr="0010104E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val="es-ES"/>
        </w:rPr>
        <w:t>por</w:t>
      </w:r>
      <w:r w:rsidRPr="0010104E">
        <w:rPr>
          <w:rFonts w:asciiTheme="majorHAnsi" w:eastAsia="Calibri" w:hAnsiTheme="majorHAnsi" w:cstheme="majorHAnsi"/>
          <w:sz w:val="20"/>
          <w:szCs w:val="20"/>
          <w:u w:val="single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b/>
          <w:sz w:val="20"/>
          <w:szCs w:val="20"/>
          <w:u w:val="single"/>
          <w:lang w:val="es-ES"/>
        </w:rPr>
        <w:t>semilla</w:t>
      </w:r>
      <w:r w:rsidR="00982E0B" w:rsidRPr="0010104E">
        <w:rPr>
          <w:rFonts w:asciiTheme="majorHAnsi" w:eastAsia="Calibri" w:hAnsiTheme="majorHAnsi" w:cstheme="majorHAnsi"/>
          <w:b/>
          <w:sz w:val="20"/>
          <w:szCs w:val="20"/>
          <w:u w:val="single"/>
          <w:lang w:val="es-ES"/>
        </w:rPr>
        <w:t xml:space="preserve"> y/o</w:t>
      </w:r>
      <w:r w:rsidRPr="0010104E">
        <w:rPr>
          <w:rFonts w:asciiTheme="majorHAnsi" w:eastAsia="Calibri" w:hAnsiTheme="majorHAnsi" w:cstheme="majorHAnsi"/>
          <w:b/>
          <w:sz w:val="20"/>
          <w:szCs w:val="20"/>
          <w:u w:val="single"/>
          <w:lang w:val="es-ES"/>
        </w:rPr>
        <w:t xml:space="preserve"> material </w:t>
      </w:r>
      <w:r w:rsidR="004F4EFA">
        <w:rPr>
          <w:rFonts w:asciiTheme="majorHAnsi" w:eastAsia="Calibri" w:hAnsiTheme="majorHAnsi" w:cstheme="majorHAnsi"/>
          <w:b/>
          <w:sz w:val="20"/>
          <w:szCs w:val="20"/>
          <w:u w:val="single"/>
          <w:lang w:val="es-ES"/>
        </w:rPr>
        <w:t>vegetativo</w:t>
      </w:r>
      <w:r w:rsidRPr="0010104E">
        <w:rPr>
          <w:rFonts w:asciiTheme="majorHAnsi" w:eastAsia="Calibri" w:hAnsiTheme="majorHAnsi" w:cstheme="majorHAnsi"/>
          <w:b/>
          <w:sz w:val="20"/>
          <w:szCs w:val="20"/>
          <w:u w:val="single"/>
          <w:lang w:val="es-ES"/>
        </w:rPr>
        <w:t xml:space="preserve"> y parcela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:</w:t>
      </w:r>
    </w:p>
    <w:p w14:paraId="2B43F8B2" w14:textId="77777777" w:rsidR="00075B24" w:rsidRPr="0010104E" w:rsidRDefault="00075B24" w:rsidP="00075B2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Nombre común </w:t>
      </w:r>
    </w:p>
    <w:p w14:paraId="69A8998E" w14:textId="77777777" w:rsidR="00075B24" w:rsidRPr="0010104E" w:rsidRDefault="00075B24" w:rsidP="00075B2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Especie (nombre científico)</w:t>
      </w:r>
    </w:p>
    <w:p w14:paraId="0417D513" w14:textId="77777777" w:rsidR="00075B24" w:rsidRPr="0010104E" w:rsidRDefault="00075B24" w:rsidP="00075B2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Variedad</w:t>
      </w:r>
    </w:p>
    <w:p w14:paraId="2155F061" w14:textId="4602D9E2" w:rsidR="00075B24" w:rsidRPr="0010104E" w:rsidRDefault="00075B24" w:rsidP="00075B2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Rendimiento proyectado por producto orgánico (solamente kilos</w:t>
      </w:r>
      <w:r w:rsidR="00877700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o piezas)</w:t>
      </w:r>
    </w:p>
    <w:p w14:paraId="7C76F862" w14:textId="43E1A17C" w:rsidR="00A34EFB" w:rsidRPr="0010104E" w:rsidRDefault="00463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Para operaciones de </w:t>
      </w:r>
      <w:r w:rsidR="00F22F44" w:rsidRPr="00E44531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procesamiento/manipulación</w:t>
      </w:r>
      <w:r w:rsidR="00075B24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(incluyendo comercializadores y distribuidores)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, organizadas </w:t>
      </w:r>
      <w:r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 xml:space="preserve">por </w:t>
      </w:r>
      <w:r w:rsidRPr="0010104E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  <w:lang w:val="es-ES"/>
        </w:rPr>
        <w:t>producto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:</w:t>
      </w:r>
    </w:p>
    <w:p w14:paraId="7B23BA3D" w14:textId="5E64FDB4" w:rsidR="00A34EFB" w:rsidRPr="0010104E" w:rsidRDefault="00360A1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Rendimiento </w:t>
      </w:r>
      <w:r w:rsidR="004631B8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proyectad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o</w:t>
      </w:r>
      <w:r w:rsidR="004631B8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por producto orgánico (kilogramos</w:t>
      </w:r>
      <w:r w:rsidR="00877700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únicamente)</w:t>
      </w:r>
    </w:p>
    <w:p w14:paraId="24ACB311" w14:textId="7132BB3B" w:rsidR="00A34EFB" w:rsidRPr="0010104E" w:rsidRDefault="004631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Coordenadas geográficas de</w:t>
      </w:r>
      <w:r w:rsidR="00360A10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la(s)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instalación</w:t>
      </w:r>
      <w:r w:rsidR="00360A10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(es)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de </w:t>
      </w:r>
      <w:r w:rsidR="00F22F44" w:rsidRPr="00E44531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procesamiento/manipulación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(punto decimal)</w:t>
      </w:r>
    </w:p>
    <w:p w14:paraId="105E653A" w14:textId="28609203" w:rsidR="00A34EFB" w:rsidRPr="0010104E" w:rsidRDefault="004631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Domicilio físico de la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instalación de </w:t>
      </w:r>
      <w:r w:rsidR="00F22F44" w:rsidRPr="00E44531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procesamiento/manipulación</w:t>
      </w:r>
    </w:p>
    <w:p w14:paraId="423F6D40" w14:textId="360EE011" w:rsidR="00075B24" w:rsidRPr="0010104E" w:rsidRDefault="00075B24" w:rsidP="001010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Para operaciones </w:t>
      </w:r>
      <w:r w:rsidR="008164A6" w:rsidRPr="00E1466C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de gana</w:t>
      </w:r>
      <w:r w:rsidR="008164A6" w:rsidRPr="00B37B76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do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, organizado </w:t>
      </w:r>
      <w:r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>por especie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:</w:t>
      </w:r>
    </w:p>
    <w:p w14:paraId="552E2EAE" w14:textId="211BDFDC" w:rsidR="00075B24" w:rsidRPr="0010104E" w:rsidRDefault="00075B24" w:rsidP="00075B2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Número total de animales en el inventario</w:t>
      </w:r>
    </w:p>
    <w:p w14:paraId="0B6AD1F5" w14:textId="3A76F8BB" w:rsidR="00075B24" w:rsidRPr="0010104E" w:rsidRDefault="00075B24" w:rsidP="00075B2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Rendimiento proyectado por producto orgánico (solamente kilos, litros, número de cabezas)</w:t>
      </w:r>
    </w:p>
    <w:p w14:paraId="0130E39F" w14:textId="5024CBF9" w:rsidR="00075B24" w:rsidRPr="0010104E" w:rsidRDefault="003D7110" w:rsidP="001010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Para las operaciones de cosecha de cultivos silvestres organizadas </w:t>
      </w:r>
      <w:r w:rsidRPr="0010104E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val="es-ES"/>
        </w:rPr>
        <w:t>por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u w:val="single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  <w:lang w:val="es-ES"/>
        </w:rPr>
        <w:t>producto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:</w:t>
      </w:r>
    </w:p>
    <w:p w14:paraId="435C89F1" w14:textId="45B1FACE" w:rsidR="003D7110" w:rsidRPr="0010104E" w:rsidRDefault="008F3E5D" w:rsidP="008F3E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proofErr w:type="gramStart"/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Total</w:t>
      </w:r>
      <w:proofErr w:type="gramEnd"/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de hectáreas </w:t>
      </w:r>
      <w:r w:rsidR="00982E0B" w:rsidRPr="00E1466C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en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cosecha de cultivos silvestres</w:t>
      </w:r>
    </w:p>
    <w:p w14:paraId="66A23F69" w14:textId="02607E5F" w:rsidR="008F3E5D" w:rsidRPr="0010104E" w:rsidRDefault="008F3E5D" w:rsidP="008F3E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Rendimiento proyectado por producto orgánico (solamente kilos)</w:t>
      </w:r>
    </w:p>
    <w:p w14:paraId="0311C6EA" w14:textId="70137443" w:rsidR="008F3E5D" w:rsidRPr="0010104E" w:rsidRDefault="008F3E5D" w:rsidP="008F3E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Coordenadas geográficas (punto</w:t>
      </w:r>
      <w:r w:rsidR="00982E0B" w:rsidRPr="00E1466C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s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decimal</w:t>
      </w:r>
      <w:r w:rsidR="00982E0B" w:rsidRPr="00E1466C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es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)</w:t>
      </w:r>
    </w:p>
    <w:p w14:paraId="145F2D47" w14:textId="7F710968" w:rsidR="008F3E5D" w:rsidRPr="0010104E" w:rsidRDefault="008F3E5D" w:rsidP="008F3E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Domicilio físico de cada unidad de producción (parcela)</w:t>
      </w:r>
    </w:p>
    <w:p w14:paraId="105E1194" w14:textId="77777777" w:rsidR="00A34EFB" w:rsidRPr="0010104E" w:rsidRDefault="00A34EFB">
      <w:pPr>
        <w:spacing w:before="60"/>
        <w:rPr>
          <w:rFonts w:asciiTheme="majorHAnsi" w:eastAsia="Calibri" w:hAnsiTheme="majorHAnsi" w:cstheme="majorHAnsi"/>
          <w:sz w:val="20"/>
          <w:szCs w:val="20"/>
          <w:lang w:val="es-ES"/>
        </w:rPr>
      </w:pPr>
    </w:p>
    <w:p w14:paraId="03D51464" w14:textId="77777777" w:rsidR="00A34EFB" w:rsidRPr="0010104E" w:rsidRDefault="004631B8" w:rsidP="00B814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 w:hanging="450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Solicitudes de aprobación de prácticas restringidas (derogaciones)</w:t>
      </w:r>
    </w:p>
    <w:p w14:paraId="207BE798" w14:textId="17F4E377" w:rsidR="00A34EFB" w:rsidRPr="0010104E" w:rsidRDefault="004631B8" w:rsidP="00B814E2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Theme="majorHAnsi" w:eastAsia="Calibri" w:hAnsiTheme="majorHAnsi" w:cstheme="majorHAnsi"/>
          <w:i/>
          <w:color w:val="333333"/>
          <w:sz w:val="20"/>
          <w:szCs w:val="20"/>
          <w:highlight w:val="white"/>
          <w:lang w:val="es-ES"/>
        </w:rPr>
      </w:pP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Una derogación es una excepción a los estándares o asignación especial para participar en ciertas prácticas restringidas durante un periodo limitado de tiempo. Todas las derogaciones deben ser aprobadas por OTCO antes de su implementación. </w:t>
      </w:r>
      <w:r w:rsidRPr="0010104E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val="es-ES"/>
        </w:rPr>
        <w:t xml:space="preserve">Solicite la aprobación de OTCO antes de participar en las siguientes actividades </w:t>
      </w:r>
      <w:r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 xml:space="preserve">ya sea por medio del </w:t>
      </w:r>
      <w:r w:rsidR="00634261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>formato</w:t>
      </w:r>
      <w:r w:rsidR="00634261"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de </w:t>
      </w:r>
      <w:r w:rsidR="00360A10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 xml:space="preserve">Solicitud de actualización del Plan </w:t>
      </w:r>
      <w:r w:rsidR="00394A65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>Orgánico</w:t>
      </w:r>
      <w:r w:rsidR="00360A10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 xml:space="preserve"> (OSP)</w:t>
      </w:r>
      <w:r w:rsidR="00360A10" w:rsidRPr="0010104E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>o por correo electrónico a</w:t>
      </w:r>
      <w:r w:rsidR="00256E5D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 </w:t>
      </w:r>
      <w:hyperlink r:id="rId10" w:history="1">
        <w:r w:rsidR="00256E5D">
          <w:rPr>
            <w:rStyle w:val="Hyperlink"/>
            <w:rFonts w:asciiTheme="majorHAnsi" w:eastAsia="Calibri" w:hAnsiTheme="majorHAnsi" w:cstheme="majorHAnsi"/>
            <w:i/>
            <w:color w:val="1155CC"/>
            <w:sz w:val="20"/>
            <w:szCs w:val="20"/>
            <w:highlight w:val="white"/>
            <w:lang w:val="es-ES"/>
          </w:rPr>
          <w:t>su</w:t>
        </w:r>
      </w:hyperlink>
      <w:r w:rsidR="00256E5D">
        <w:rPr>
          <w:rStyle w:val="Hyperlink"/>
          <w:rFonts w:asciiTheme="majorHAnsi" w:eastAsia="Calibri" w:hAnsiTheme="majorHAnsi" w:cstheme="majorHAnsi"/>
          <w:i/>
          <w:color w:val="1155CC"/>
          <w:sz w:val="20"/>
          <w:szCs w:val="20"/>
          <w:highlight w:val="white"/>
          <w:lang w:val="es-ES"/>
        </w:rPr>
        <w:t xml:space="preserve"> equipo de servicios de certificación</w:t>
      </w: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 en cualquier momento.</w:t>
      </w:r>
    </w:p>
    <w:p w14:paraId="4C706C96" w14:textId="77777777" w:rsidR="00A34EFB" w:rsidRPr="0010104E" w:rsidRDefault="00A34EF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20"/>
          <w:szCs w:val="20"/>
          <w:lang w:val="es-ES"/>
        </w:rPr>
      </w:pPr>
    </w:p>
    <w:p w14:paraId="1002A371" w14:textId="73542F3E" w:rsidR="00A34EFB" w:rsidRPr="0010104E" w:rsidRDefault="008F3E5D" w:rsidP="00B814E2">
      <w:p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hAnsiTheme="majorHAnsi" w:cstheme="majorHAnsi"/>
          <w:sz w:val="20"/>
          <w:lang w:val="es-ES"/>
        </w:rPr>
        <w:t>Por este medio confirmo que m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i operación solicitará la aprobación de 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OTCO </w:t>
      </w:r>
      <w:r w:rsidR="004631B8" w:rsidRPr="0010104E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val="es-ES"/>
        </w:rPr>
        <w:t>antes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de participar en cualquiera de las prácticas restringidas este año</w:t>
      </w:r>
      <w:r w:rsidR="00055D6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para las parcelas, productos y/o cultivos que cuentan con Servicio-México </w:t>
      </w:r>
      <w:r w:rsidR="00055D6A"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>(</w:t>
      </w:r>
      <w:r w:rsidR="00C23017"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>LPO</w:t>
      </w:r>
      <w:r w:rsidR="00055D6A"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>)</w:t>
      </w:r>
      <w:r w:rsidR="00055D6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en mi certificado </w:t>
      </w:r>
      <w:proofErr w:type="spellStart"/>
      <w:r w:rsidR="00055D6A">
        <w:rPr>
          <w:rFonts w:asciiTheme="majorHAnsi" w:eastAsia="Calibri" w:hAnsiTheme="majorHAnsi" w:cstheme="majorHAnsi"/>
          <w:sz w:val="20"/>
          <w:szCs w:val="20"/>
          <w:lang w:val="es-ES"/>
        </w:rPr>
        <w:t>organico</w:t>
      </w:r>
      <w:proofErr w:type="spellEnd"/>
      <w:r w:rsidR="00055D6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de OTCO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:</w:t>
      </w:r>
    </w:p>
    <w:p w14:paraId="5044DD92" w14:textId="129C611A" w:rsidR="00A34EFB" w:rsidRPr="0010104E" w:rsidRDefault="004631B8" w:rsidP="00B81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Para operaciones de 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producción de cultivos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:</w:t>
      </w:r>
    </w:p>
    <w:p w14:paraId="7CF51ABA" w14:textId="6D3A1584" w:rsidR="00A34EFB" w:rsidRPr="0010104E" w:rsidRDefault="004631B8" w:rsidP="00B814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lastRenderedPageBreak/>
        <w:t xml:space="preserve">Mi operación de 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producción de cultivos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solicitará permiso antes de usar semilla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>s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>o</w:t>
      </w:r>
      <w:r w:rsidR="004F4EF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>material vegetativo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4F4EFA">
        <w:rPr>
          <w:rFonts w:asciiTheme="majorHAnsi" w:eastAsia="Calibri" w:hAnsiTheme="majorHAnsi" w:cstheme="majorHAnsi"/>
          <w:sz w:val="20"/>
          <w:szCs w:val="20"/>
          <w:lang w:val="es-ES"/>
        </w:rPr>
        <w:t>(</w:t>
      </w:r>
      <w:r w:rsidRPr="004F4EF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material </w:t>
      </w:r>
      <w:r w:rsidR="00360A10" w:rsidRPr="004F4EF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de </w:t>
      </w:r>
      <w:r w:rsidR="004F4EFA">
        <w:rPr>
          <w:rFonts w:asciiTheme="majorHAnsi" w:eastAsia="Calibri" w:hAnsiTheme="majorHAnsi" w:cstheme="majorHAnsi"/>
          <w:sz w:val="20"/>
          <w:szCs w:val="20"/>
          <w:lang w:val="es-ES"/>
        </w:rPr>
        <w:t>siembra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) </w:t>
      </w:r>
      <w:r w:rsidR="00F071E9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no orgánic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os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este año.</w:t>
      </w:r>
    </w:p>
    <w:p w14:paraId="7758343A" w14:textId="133A0373" w:rsidR="008F3E5D" w:rsidRPr="0010104E" w:rsidRDefault="008F3E5D" w:rsidP="00B814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Mi operación de 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>producción</w:t>
      </w:r>
      <w:r w:rsidR="008164A6" w:rsidRPr="00394A65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de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cultivo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>s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enviará solicitudes de adición de tierras a OTCO al menos 60 días antes de cualquier inspección programada siempre que sea posible.</w:t>
      </w:r>
    </w:p>
    <w:p w14:paraId="620F58F7" w14:textId="77777777" w:rsidR="00A34EFB" w:rsidRPr="0010104E" w:rsidRDefault="004631B8" w:rsidP="00B81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Para operaciones de ganado:</w:t>
      </w:r>
    </w:p>
    <w:p w14:paraId="01D4DE44" w14:textId="77777777" w:rsidR="00A34EFB" w:rsidRPr="0010104E" w:rsidRDefault="004631B8" w:rsidP="00B814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Mi operación de ganado solicitará permiso antes de realizar inseminación artificial este año.</w:t>
      </w:r>
    </w:p>
    <w:p w14:paraId="5E5F84B5" w14:textId="77777777" w:rsidR="00A34EFB" w:rsidRPr="0010104E" w:rsidRDefault="004631B8" w:rsidP="00B814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Mi operación de ganado solicitará permiso antes de realizar cualquier alteración física este año.</w:t>
      </w:r>
    </w:p>
    <w:p w14:paraId="117301D4" w14:textId="77777777" w:rsidR="00A34EFB" w:rsidRPr="0010104E" w:rsidRDefault="004631B8" w:rsidP="00B814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Mi operación de ganado solicitará permiso antes de aplicar más de tres (3) </w:t>
      </w:r>
      <w:r w:rsidRPr="0010104E">
        <w:rPr>
          <w:rFonts w:asciiTheme="majorHAnsi" w:eastAsia="Calibri" w:hAnsiTheme="majorHAnsi" w:cstheme="majorHAnsi"/>
          <w:color w:val="333333"/>
          <w:sz w:val="20"/>
          <w:szCs w:val="20"/>
          <w:highlight w:val="white"/>
          <w:lang w:val="es-ES"/>
        </w:rPr>
        <w:t>tratamientos veterinarios alopáticos químicamente sintetizados en un año.</w:t>
      </w:r>
    </w:p>
    <w:p w14:paraId="0419E5FB" w14:textId="5B92EB88" w:rsidR="00A34EFB" w:rsidRPr="0010104E" w:rsidRDefault="004631B8" w:rsidP="00B81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333333"/>
          <w:sz w:val="20"/>
          <w:szCs w:val="20"/>
          <w:highlight w:val="white"/>
          <w:lang w:val="es-ES"/>
        </w:rPr>
      </w:pPr>
      <w:r w:rsidRPr="0010104E">
        <w:rPr>
          <w:rFonts w:asciiTheme="majorHAnsi" w:eastAsia="Calibri" w:hAnsiTheme="majorHAnsi" w:cstheme="majorHAnsi"/>
          <w:color w:val="333333"/>
          <w:sz w:val="20"/>
          <w:szCs w:val="20"/>
          <w:highlight w:val="white"/>
          <w:lang w:val="es-ES"/>
        </w:rPr>
        <w:t xml:space="preserve">Para operaciones de </w:t>
      </w:r>
      <w:r w:rsidR="00F22F44" w:rsidRPr="00E44531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procesamiento/manipulación</w:t>
      </w:r>
      <w:r w:rsidRPr="00337C7B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:</w:t>
      </w:r>
    </w:p>
    <w:p w14:paraId="13130B72" w14:textId="00AAA3AB" w:rsidR="00C14459" w:rsidRPr="0010104E" w:rsidRDefault="00B0746A" w:rsidP="00B814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color w:val="333333"/>
          <w:sz w:val="20"/>
          <w:szCs w:val="20"/>
          <w:highlight w:val="white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En caso de que</w:t>
      </w:r>
      <w:r w:rsidR="00734656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mi operación de </w:t>
      </w:r>
      <w:r w:rsidR="00F22F44" w:rsidRPr="00E44531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procesamiento/manipulación</w:t>
      </w:r>
      <w:r w:rsidR="00055EFE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 xml:space="preserve"> </w:t>
      </w:r>
      <w:r w:rsidR="00734656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participe en procesamiento paralelo de manera esporádica, </w:t>
      </w:r>
      <w:r w:rsidR="0026039C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se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notificará </w:t>
      </w:r>
      <w:r w:rsidR="00734656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a OTCO 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con 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72 horas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de </w:t>
      </w:r>
      <w:r w:rsidR="008164A6" w:rsidRPr="00394A65">
        <w:rPr>
          <w:rFonts w:asciiTheme="majorHAnsi" w:eastAsia="Calibri" w:hAnsiTheme="majorHAnsi" w:cstheme="majorHAnsi"/>
          <w:sz w:val="20"/>
          <w:szCs w:val="20"/>
          <w:lang w:val="es-ES"/>
        </w:rPr>
        <w:t>anticipación</w:t>
      </w:r>
      <w:r w:rsidR="00734656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para </w:t>
      </w:r>
      <w:r w:rsidR="0026039C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solicita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>r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8164A6" w:rsidRPr="00E1466C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el 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permiso para hacer procesamiento paralelo cada vez que vaya a suceder en el año próximo</w:t>
      </w:r>
      <w:r w:rsidR="0026039C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.</w:t>
      </w:r>
    </w:p>
    <w:p w14:paraId="36055A33" w14:textId="2A5AF923" w:rsidR="00E1466C" w:rsidRPr="0010104E" w:rsidRDefault="004631B8" w:rsidP="001010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color w:val="333333"/>
          <w:sz w:val="20"/>
          <w:szCs w:val="20"/>
          <w:highlight w:val="white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Mi operación de </w:t>
      </w:r>
      <w:r w:rsidR="00F22F44" w:rsidRPr="00E44531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procesamiento/manipulación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solicitará permiso para usar aditivos sintéticos o agentes de procesamiento en la preparación o conservación de alimentos antes de su procesamiento este año. </w:t>
      </w:r>
    </w:p>
    <w:p w14:paraId="358751B6" w14:textId="77777777" w:rsidR="00C14459" w:rsidRPr="0010104E" w:rsidRDefault="00C14459" w:rsidP="0010104E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</w:pPr>
    </w:p>
    <w:p w14:paraId="43880C27" w14:textId="589A4D4B" w:rsidR="00E1466C" w:rsidRDefault="00685559" w:rsidP="00C14459">
      <w:pPr>
        <w:pStyle w:val="ListParagraph"/>
        <w:numPr>
          <w:ilvl w:val="0"/>
          <w:numId w:val="5"/>
        </w:numPr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La</w:t>
      </w:r>
      <w:r w:rsidR="00C14459"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 </w:t>
      </w:r>
      <w:r w:rsidR="006F2B2F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V</w:t>
      </w:r>
      <w:r w:rsidR="00E1466C"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igencia del Certificado del Programa de </w:t>
      </w:r>
      <w:r w:rsidR="00394A65" w:rsidRPr="00394A65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México</w:t>
      </w:r>
      <w:r w:rsidR="00E1466C"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 </w:t>
      </w:r>
    </w:p>
    <w:p w14:paraId="2123CEF2" w14:textId="77777777" w:rsidR="00F85D9B" w:rsidRPr="0031546F" w:rsidRDefault="00F85D9B" w:rsidP="0031546F">
      <w:pPr>
        <w:pStyle w:val="ListParagraph"/>
        <w:ind w:left="810"/>
        <w:rPr>
          <w:rFonts w:asciiTheme="majorHAnsi" w:eastAsia="Calibri" w:hAnsiTheme="majorHAnsi" w:cstheme="majorHAnsi"/>
          <w:sz w:val="16"/>
          <w:szCs w:val="16"/>
          <w:lang w:val="es-ES"/>
        </w:rPr>
      </w:pPr>
    </w:p>
    <w:p w14:paraId="48C7E909" w14:textId="127658AA" w:rsidR="00E1466C" w:rsidRPr="0010104E" w:rsidRDefault="00B0746A" w:rsidP="0010104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De acuerdo con </w:t>
      </w:r>
      <w:proofErr w:type="spellStart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el</w:t>
      </w:r>
      <w:proofErr w:type="spellEnd"/>
      <w:r w:rsidR="00F014A5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a</w:t>
      </w:r>
      <w:r w:rsidR="00F014A5" w:rsidRPr="005A0E59">
        <w:rPr>
          <w:rFonts w:asciiTheme="majorHAnsi" w:eastAsia="Calibri" w:hAnsiTheme="majorHAnsi" w:cstheme="majorHAnsi"/>
          <w:sz w:val="20"/>
          <w:szCs w:val="20"/>
          <w:lang w:val="es-MX"/>
        </w:rPr>
        <w:t xml:space="preserve">rtículo 27 del Reglamento de la Ley de Productos Orgánicos de México, los certificados orgánicos bajo el Programa Orgánico de México (LPO) vencen a los 12 meses a partir de la fecha </w:t>
      </w:r>
      <w:r w:rsidR="00685559" w:rsidRPr="00685559">
        <w:rPr>
          <w:rFonts w:asciiTheme="majorHAnsi" w:eastAsia="Calibri" w:hAnsiTheme="majorHAnsi" w:cstheme="majorHAnsi"/>
          <w:sz w:val="20"/>
          <w:szCs w:val="20"/>
          <w:lang w:val="es-MX"/>
        </w:rPr>
        <w:t xml:space="preserve">en que se verificó la inspección correspondiente </w:t>
      </w:r>
      <w:r w:rsidR="00F014A5" w:rsidRPr="005A0E59">
        <w:rPr>
          <w:rFonts w:asciiTheme="majorHAnsi" w:eastAsia="Calibri" w:hAnsiTheme="majorHAnsi" w:cstheme="majorHAnsi"/>
          <w:sz w:val="20"/>
          <w:szCs w:val="20"/>
          <w:lang w:val="es-MX"/>
        </w:rPr>
        <w:t xml:space="preserve">de una operación, que </w:t>
      </w:r>
      <w:r w:rsidR="006D1525">
        <w:rPr>
          <w:rFonts w:asciiTheme="majorHAnsi" w:eastAsia="Calibri" w:hAnsiTheme="majorHAnsi" w:cstheme="majorHAnsi"/>
          <w:sz w:val="20"/>
          <w:szCs w:val="20"/>
          <w:lang w:val="es-MX"/>
        </w:rPr>
        <w:t>es</w:t>
      </w:r>
      <w:r w:rsidR="00F014A5" w:rsidRPr="005A0E59">
        <w:rPr>
          <w:rFonts w:asciiTheme="majorHAnsi" w:eastAsia="Calibri" w:hAnsiTheme="majorHAnsi" w:cstheme="majorHAnsi"/>
          <w:sz w:val="20"/>
          <w:szCs w:val="20"/>
          <w:lang w:val="es-MX"/>
        </w:rPr>
        <w:t xml:space="preserve"> la</w:t>
      </w:r>
      <w:r w:rsidR="006D1525">
        <w:rPr>
          <w:rFonts w:asciiTheme="majorHAnsi" w:eastAsia="Calibri" w:hAnsiTheme="majorHAnsi" w:cstheme="majorHAnsi"/>
          <w:sz w:val="20"/>
          <w:szCs w:val="20"/>
          <w:lang w:val="es-MX"/>
        </w:rPr>
        <w:t xml:space="preserve"> fecha de</w:t>
      </w:r>
      <w:r w:rsidR="00F014A5" w:rsidRPr="005A0E59">
        <w:rPr>
          <w:rFonts w:asciiTheme="majorHAnsi" w:eastAsia="Calibri" w:hAnsiTheme="majorHAnsi" w:cstheme="majorHAnsi"/>
          <w:sz w:val="20"/>
          <w:szCs w:val="20"/>
          <w:lang w:val="es-MX"/>
        </w:rPr>
        <w:t xml:space="preserve"> </w:t>
      </w:r>
      <w:r w:rsidR="00685559" w:rsidRPr="00685559">
        <w:rPr>
          <w:rFonts w:asciiTheme="majorHAnsi" w:eastAsia="Calibri" w:hAnsiTheme="majorHAnsi" w:cstheme="majorHAnsi"/>
          <w:sz w:val="20"/>
          <w:szCs w:val="20"/>
          <w:lang w:val="es-MX"/>
        </w:rPr>
        <w:t>Decisión de Certificación</w:t>
      </w:r>
      <w:r w:rsidR="00F014A5" w:rsidRPr="005A0E59">
        <w:rPr>
          <w:rFonts w:asciiTheme="majorHAnsi" w:eastAsia="Calibri" w:hAnsiTheme="majorHAnsi" w:cstheme="majorHAnsi"/>
          <w:sz w:val="20"/>
          <w:szCs w:val="20"/>
          <w:lang w:val="es-MX"/>
        </w:rPr>
        <w:t>.</w:t>
      </w:r>
    </w:p>
    <w:p w14:paraId="4770A6F2" w14:textId="79250D7C" w:rsidR="00C14459" w:rsidRPr="0010104E" w:rsidRDefault="00C14459" w:rsidP="0010104E">
      <w:pPr>
        <w:pStyle w:val="ListParagraph"/>
        <w:ind w:left="810"/>
        <w:rPr>
          <w:rFonts w:eastAsia="Calibri"/>
          <w:lang w:val="es-ES"/>
        </w:rPr>
      </w:pPr>
    </w:p>
    <w:p w14:paraId="31EB42AC" w14:textId="15889B9E" w:rsidR="00592760" w:rsidRPr="0010104E" w:rsidRDefault="00C14459" w:rsidP="00C1445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hAnsiTheme="majorHAnsi" w:cstheme="majorHAnsi"/>
          <w:sz w:val="20"/>
          <w:szCs w:val="20"/>
          <w:lang w:val="es-ES"/>
        </w:rPr>
        <w:t xml:space="preserve">Por este medio declaro que entiendo que mi certificado del Programa Orgánico </w:t>
      </w:r>
      <w:r w:rsidR="00592760">
        <w:rPr>
          <w:rFonts w:asciiTheme="majorHAnsi" w:hAnsiTheme="majorHAnsi" w:cstheme="majorHAnsi"/>
          <w:sz w:val="20"/>
          <w:szCs w:val="20"/>
          <w:lang w:val="es-ES"/>
        </w:rPr>
        <w:t>d</w:t>
      </w:r>
      <w:r w:rsidRPr="0010104E">
        <w:rPr>
          <w:rFonts w:asciiTheme="majorHAnsi" w:hAnsiTheme="majorHAnsi" w:cstheme="majorHAnsi"/>
          <w:sz w:val="20"/>
          <w:szCs w:val="20"/>
          <w:lang w:val="es-ES"/>
        </w:rPr>
        <w:t xml:space="preserve">e México (LPO) expirará a los 12 meses a partir de mi última inspección. Trabajaré en conjunto con </w:t>
      </w:r>
      <w:proofErr w:type="spellStart"/>
      <w:r w:rsidRPr="0010104E">
        <w:rPr>
          <w:rFonts w:asciiTheme="majorHAnsi" w:hAnsiTheme="majorHAnsi" w:cstheme="majorHAnsi"/>
          <w:sz w:val="20"/>
          <w:szCs w:val="20"/>
          <w:lang w:val="es-ES"/>
        </w:rPr>
        <w:t>Oregon</w:t>
      </w:r>
      <w:proofErr w:type="spellEnd"/>
      <w:r w:rsidRPr="0010104E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proofErr w:type="spellStart"/>
      <w:r w:rsidRPr="0010104E">
        <w:rPr>
          <w:rFonts w:asciiTheme="majorHAnsi" w:hAnsiTheme="majorHAnsi" w:cstheme="majorHAnsi"/>
          <w:sz w:val="20"/>
          <w:szCs w:val="20"/>
          <w:lang w:val="es-ES"/>
        </w:rPr>
        <w:t>Tilth</w:t>
      </w:r>
      <w:proofErr w:type="spellEnd"/>
      <w:r w:rsidRPr="0010104E">
        <w:rPr>
          <w:rFonts w:asciiTheme="majorHAnsi" w:hAnsiTheme="majorHAnsi" w:cstheme="majorHAnsi"/>
          <w:sz w:val="20"/>
          <w:szCs w:val="20"/>
          <w:lang w:val="es-ES"/>
        </w:rPr>
        <w:t xml:space="preserve"> para acordar que mi inspección anual se lleve a cabo previo a esta fecha. Declaro mi compromiso y reconozco mi responsabilidad para salvaguardar y mantener la integridad de los productos orgánicos que produzco, así como cumplir con las disposiciones aplicables de la Ley de Productos Orgánicos</w:t>
      </w:r>
      <w:r w:rsidR="00592760">
        <w:rPr>
          <w:rFonts w:asciiTheme="majorHAnsi" w:hAnsiTheme="majorHAnsi" w:cstheme="majorHAnsi"/>
          <w:sz w:val="20"/>
          <w:szCs w:val="20"/>
          <w:lang w:val="es-ES"/>
        </w:rPr>
        <w:t xml:space="preserve"> de México</w:t>
      </w:r>
      <w:r w:rsidRPr="0010104E">
        <w:rPr>
          <w:rFonts w:asciiTheme="majorHAnsi" w:hAnsiTheme="majorHAnsi" w:cstheme="majorHAnsi"/>
          <w:sz w:val="20"/>
          <w:szCs w:val="20"/>
          <w:lang w:val="es-ES"/>
        </w:rPr>
        <w:t>.</w:t>
      </w:r>
    </w:p>
    <w:p w14:paraId="2E76D673" w14:textId="77777777" w:rsidR="00592760" w:rsidRDefault="00592760" w:rsidP="0059276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0"/>
          <w:szCs w:val="20"/>
          <w:u w:val="single"/>
          <w:lang w:val="es-ES"/>
        </w:rPr>
      </w:pPr>
    </w:p>
    <w:p w14:paraId="1A0C6DFA" w14:textId="34C6A65C" w:rsidR="00C14459" w:rsidRPr="0010104E" w:rsidRDefault="00C14459" w:rsidP="50A958F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Bidi"/>
          <w:sz w:val="22"/>
          <w:szCs w:val="22"/>
          <w:lang w:val="es-ES"/>
        </w:rPr>
      </w:pPr>
      <w:r w:rsidRPr="50A958F6">
        <w:rPr>
          <w:rFonts w:asciiTheme="majorHAnsi" w:hAnsiTheme="majorHAnsi" w:cstheme="majorBidi"/>
          <w:b/>
          <w:bCs/>
          <w:sz w:val="22"/>
          <w:szCs w:val="22"/>
          <w:u w:val="single"/>
          <w:lang w:val="es-ES"/>
        </w:rPr>
        <w:t xml:space="preserve">Sección 2: </w:t>
      </w:r>
      <w:r w:rsidR="00CF357A" w:rsidRPr="50A958F6">
        <w:rPr>
          <w:rFonts w:asciiTheme="majorHAnsi" w:hAnsiTheme="majorHAnsi" w:cstheme="majorBidi"/>
          <w:b/>
          <w:bCs/>
          <w:sz w:val="22"/>
          <w:szCs w:val="22"/>
          <w:u w:val="single"/>
          <w:lang w:val="es-ES"/>
        </w:rPr>
        <w:t xml:space="preserve">Solamente para </w:t>
      </w:r>
      <w:r w:rsidRPr="50A958F6">
        <w:rPr>
          <w:rFonts w:asciiTheme="majorHAnsi" w:hAnsiTheme="majorHAnsi" w:cstheme="majorBidi"/>
          <w:b/>
          <w:bCs/>
          <w:sz w:val="22"/>
          <w:szCs w:val="22"/>
          <w:u w:val="single"/>
          <w:lang w:val="es-ES"/>
        </w:rPr>
        <w:t>el programa de la Unión Europa:</w:t>
      </w:r>
    </w:p>
    <w:p w14:paraId="61DB0BF5" w14:textId="77777777" w:rsidR="00A34EFB" w:rsidRPr="0010104E" w:rsidRDefault="00A34EFB" w:rsidP="00C14459">
      <w:pPr>
        <w:spacing w:before="60"/>
        <w:rPr>
          <w:rFonts w:asciiTheme="majorHAnsi" w:eastAsia="Calibri" w:hAnsiTheme="majorHAnsi" w:cstheme="majorHAnsi"/>
          <w:sz w:val="20"/>
          <w:szCs w:val="20"/>
          <w:lang w:val="es-ES"/>
        </w:rPr>
      </w:pPr>
    </w:p>
    <w:p w14:paraId="2B66B3BC" w14:textId="77777777" w:rsidR="00B814E2" w:rsidRPr="0010104E" w:rsidRDefault="004631B8" w:rsidP="00B814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30" w:hanging="450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Solicitudes de aprobación de prácticas restringidas (derogaciones)</w:t>
      </w:r>
    </w:p>
    <w:p w14:paraId="1E0A0532" w14:textId="2807F308" w:rsidR="00B814E2" w:rsidRPr="0010104E" w:rsidRDefault="004631B8" w:rsidP="00B814E2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Theme="majorHAnsi" w:eastAsia="Calibri" w:hAnsiTheme="majorHAnsi" w:cstheme="majorHAnsi"/>
          <w:i/>
          <w:color w:val="333333"/>
          <w:sz w:val="20"/>
          <w:szCs w:val="20"/>
          <w:highlight w:val="white"/>
          <w:lang w:val="es-ES"/>
        </w:rPr>
      </w:pP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Una derogación es una excepción a los estándares o asignación especial para participar en ciertas prácticas restringidas durante un periodo limitado de </w:t>
      </w:r>
      <w:r w:rsidR="00B0746A"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>tiempo.</w:t>
      </w: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 Todas las derogaciones deben ser aprobadas por OTCO antes de su implementación. </w:t>
      </w:r>
      <w:r w:rsidRPr="0010104E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val="es-ES"/>
        </w:rPr>
        <w:t xml:space="preserve">Solicite la aprobación de OTCO antes de participar en las siguientes actividades </w:t>
      </w:r>
      <w:r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 xml:space="preserve">ya sea por medio del </w:t>
      </w:r>
      <w:r w:rsidR="00B0746A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>formato</w:t>
      </w:r>
      <w:r w:rsidR="00B0746A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 xml:space="preserve"> </w:t>
      </w:r>
      <w:r w:rsidR="00360A10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 xml:space="preserve">Solicitud de actualización del Plan </w:t>
      </w:r>
      <w:r w:rsidR="00394A65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>Orgánico</w:t>
      </w:r>
      <w:r w:rsidR="00360A10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/>
        </w:rPr>
        <w:t xml:space="preserve"> (OSP)</w:t>
      </w:r>
      <w:r w:rsidR="00360A10" w:rsidRPr="0010104E">
        <w:rPr>
          <w:rFonts w:asciiTheme="majorHAnsi" w:eastAsia="Calibri" w:hAnsiTheme="majorHAnsi" w:cstheme="majorHAnsi"/>
          <w:i/>
          <w:iCs/>
          <w:sz w:val="22"/>
          <w:szCs w:val="22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o por correo electrónico a </w:t>
      </w:r>
      <w:hyperlink r:id="rId11" w:history="1">
        <w:r w:rsidR="00CF357A">
          <w:rPr>
            <w:rStyle w:val="Hyperlink"/>
            <w:rFonts w:asciiTheme="majorHAnsi" w:eastAsia="Calibri" w:hAnsiTheme="majorHAnsi" w:cstheme="majorHAnsi"/>
            <w:i/>
            <w:color w:val="1155CC"/>
            <w:sz w:val="20"/>
            <w:szCs w:val="20"/>
            <w:highlight w:val="white"/>
            <w:lang w:val="es-ES"/>
          </w:rPr>
          <w:t>su</w:t>
        </w:r>
      </w:hyperlink>
      <w:r w:rsidR="00CF357A">
        <w:rPr>
          <w:rStyle w:val="Hyperlink"/>
          <w:rFonts w:asciiTheme="majorHAnsi" w:eastAsia="Calibri" w:hAnsiTheme="majorHAnsi" w:cstheme="majorHAnsi"/>
          <w:i/>
          <w:color w:val="1155CC"/>
          <w:sz w:val="20"/>
          <w:szCs w:val="20"/>
          <w:highlight w:val="white"/>
          <w:lang w:val="es-ES"/>
        </w:rPr>
        <w:t xml:space="preserve"> equipo de servicios de </w:t>
      </w:r>
      <w:r w:rsidR="00F85D9B">
        <w:rPr>
          <w:rStyle w:val="Hyperlink"/>
          <w:rFonts w:asciiTheme="majorHAnsi" w:eastAsia="Calibri" w:hAnsiTheme="majorHAnsi" w:cstheme="majorHAnsi"/>
          <w:i/>
          <w:color w:val="1155CC"/>
          <w:sz w:val="20"/>
          <w:szCs w:val="20"/>
          <w:highlight w:val="white"/>
          <w:lang w:val="es-ES"/>
        </w:rPr>
        <w:t>certificación</w:t>
      </w:r>
      <w:r w:rsidR="00F85D9B" w:rsidRPr="0010104E">
        <w:rPr>
          <w:rFonts w:asciiTheme="majorHAnsi" w:eastAsia="Calibri" w:hAnsiTheme="majorHAnsi" w:cstheme="majorHAnsi"/>
          <w:i/>
          <w:color w:val="333333"/>
          <w:sz w:val="20"/>
          <w:szCs w:val="20"/>
          <w:highlight w:val="white"/>
          <w:lang w:val="es-ES"/>
        </w:rPr>
        <w:t xml:space="preserve"> </w:t>
      </w:r>
      <w:r w:rsidR="00F85D9B"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>en</w:t>
      </w:r>
      <w:r w:rsidRPr="0010104E">
        <w:rPr>
          <w:rFonts w:asciiTheme="majorHAnsi" w:eastAsia="Calibri" w:hAnsiTheme="majorHAnsi" w:cstheme="majorHAnsi"/>
          <w:i/>
          <w:iCs/>
          <w:color w:val="333333"/>
          <w:sz w:val="20"/>
          <w:szCs w:val="20"/>
          <w:highlight w:val="white"/>
          <w:lang w:val="es-ES"/>
        </w:rPr>
        <w:t xml:space="preserve"> cualquier momento.</w:t>
      </w:r>
    </w:p>
    <w:p w14:paraId="01761719" w14:textId="77777777" w:rsidR="00A34EFB" w:rsidRPr="0010104E" w:rsidRDefault="00A34EFB">
      <w:pPr>
        <w:rPr>
          <w:rFonts w:asciiTheme="majorHAnsi" w:eastAsia="Calibri" w:hAnsiTheme="majorHAnsi" w:cstheme="majorHAnsi"/>
          <w:i/>
          <w:sz w:val="20"/>
          <w:szCs w:val="20"/>
          <w:lang w:val="es-ES"/>
        </w:rPr>
      </w:pPr>
    </w:p>
    <w:p w14:paraId="2A60DBF2" w14:textId="50542237" w:rsidR="00A34EFB" w:rsidRPr="0010104E" w:rsidRDefault="00C75990" w:rsidP="00B814E2">
      <w:pPr>
        <w:ind w:left="810" w:hanging="180"/>
        <w:rPr>
          <w:rFonts w:asciiTheme="majorHAnsi" w:eastAsia="Calibri" w:hAnsiTheme="majorHAnsi" w:cstheme="majorHAnsi"/>
          <w:i/>
          <w:sz w:val="22"/>
          <w:szCs w:val="22"/>
          <w:lang w:val="es-ES"/>
        </w:rPr>
      </w:pPr>
      <w:r w:rsidRPr="0010104E">
        <w:rPr>
          <w:rFonts w:asciiTheme="majorHAnsi" w:hAnsiTheme="majorHAnsi" w:cstheme="majorHAnsi"/>
          <w:sz w:val="20"/>
          <w:lang w:val="es-ES"/>
        </w:rPr>
        <w:t xml:space="preserve">Por este medio </w:t>
      </w:r>
      <w:r w:rsidR="00394A65">
        <w:rPr>
          <w:rFonts w:asciiTheme="majorHAnsi" w:hAnsiTheme="majorHAnsi" w:cstheme="majorHAnsi"/>
          <w:sz w:val="20"/>
          <w:lang w:val="es-ES"/>
        </w:rPr>
        <w:t xml:space="preserve">confirmo </w:t>
      </w:r>
      <w:r w:rsidRPr="0010104E">
        <w:rPr>
          <w:rFonts w:asciiTheme="majorHAnsi" w:hAnsiTheme="majorHAnsi" w:cstheme="majorHAnsi"/>
          <w:sz w:val="20"/>
          <w:lang w:val="es-ES"/>
        </w:rPr>
        <w:t>que m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i operación solicitará la aprobación de 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OTCO </w:t>
      </w:r>
      <w:r w:rsidR="004631B8" w:rsidRPr="0010104E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val="es-ES"/>
        </w:rPr>
        <w:t>antes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de participar en cualquiera de las prácticas restringidas este año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:</w:t>
      </w:r>
    </w:p>
    <w:p w14:paraId="60E29FCA" w14:textId="6ED8C6E4" w:rsidR="00A34EFB" w:rsidRPr="0010104E" w:rsidRDefault="004631B8">
      <w:pPr>
        <w:numPr>
          <w:ilvl w:val="0"/>
          <w:numId w:val="2"/>
        </w:numPr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Para operaciones de 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producción de cultivos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:</w:t>
      </w:r>
    </w:p>
    <w:p w14:paraId="7118FBA8" w14:textId="321FE125" w:rsidR="00A34EFB" w:rsidRPr="0010104E" w:rsidRDefault="004631B8">
      <w:pPr>
        <w:numPr>
          <w:ilvl w:val="1"/>
          <w:numId w:val="2"/>
        </w:numPr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Mi operación de 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producción de cultivos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solicitará permiso antes de usar semilla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>s</w:t>
      </w:r>
      <w:r w:rsidRPr="004F4EF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, </w:t>
      </w:r>
      <w:r w:rsidR="004F4EFA">
        <w:rPr>
          <w:rFonts w:asciiTheme="majorHAnsi" w:eastAsia="Calibri" w:hAnsiTheme="majorHAnsi" w:cstheme="majorHAnsi"/>
          <w:sz w:val="20"/>
          <w:szCs w:val="20"/>
          <w:lang w:val="es-ES"/>
        </w:rPr>
        <w:t>material vegetativo</w:t>
      </w:r>
      <w:r w:rsidR="004F4EFA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4F4EFA">
        <w:rPr>
          <w:rFonts w:asciiTheme="majorHAnsi" w:eastAsia="Calibri" w:hAnsiTheme="majorHAnsi" w:cstheme="majorHAnsi"/>
          <w:sz w:val="20"/>
          <w:szCs w:val="20"/>
          <w:lang w:val="es-ES"/>
        </w:rPr>
        <w:t>(</w:t>
      </w:r>
      <w:r w:rsidR="004F4EFA" w:rsidRPr="004F4EFA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material de </w:t>
      </w:r>
      <w:r w:rsidR="004F4EFA">
        <w:rPr>
          <w:rFonts w:asciiTheme="majorHAnsi" w:eastAsia="Calibri" w:hAnsiTheme="majorHAnsi" w:cstheme="majorHAnsi"/>
          <w:sz w:val="20"/>
          <w:szCs w:val="20"/>
          <w:lang w:val="es-ES"/>
        </w:rPr>
        <w:t>siembra</w:t>
      </w:r>
      <w:r w:rsidR="004F4EFA" w:rsidRPr="00F071E9">
        <w:rPr>
          <w:rFonts w:asciiTheme="majorHAnsi" w:eastAsia="Calibri" w:hAnsiTheme="majorHAnsi" w:cstheme="majorHAnsi"/>
          <w:sz w:val="20"/>
          <w:szCs w:val="20"/>
          <w:lang w:val="es-ES"/>
        </w:rPr>
        <w:t>)</w:t>
      </w:r>
      <w:r w:rsidRPr="00F071E9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o 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>semillas de papa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055EFE">
        <w:rPr>
          <w:rFonts w:asciiTheme="majorHAnsi" w:eastAsia="Calibri" w:hAnsiTheme="majorHAnsi" w:cstheme="majorHAnsi"/>
          <w:sz w:val="20"/>
          <w:szCs w:val="20"/>
          <w:lang w:val="es-ES"/>
        </w:rPr>
        <w:t>no</w:t>
      </w:r>
      <w:r w:rsidR="00F071E9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orgánic</w:t>
      </w:r>
      <w:r w:rsidR="00F071E9">
        <w:rPr>
          <w:rFonts w:asciiTheme="majorHAnsi" w:eastAsia="Calibri" w:hAnsiTheme="majorHAnsi" w:cstheme="majorHAnsi"/>
          <w:sz w:val="20"/>
          <w:szCs w:val="20"/>
          <w:lang w:val="es-ES"/>
        </w:rPr>
        <w:t>os</w:t>
      </w:r>
      <w:r w:rsidR="00F071E9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este año.</w:t>
      </w:r>
    </w:p>
    <w:p w14:paraId="36FEEAF9" w14:textId="383B9D46" w:rsidR="00C75990" w:rsidRPr="0010104E" w:rsidRDefault="00C75990">
      <w:pPr>
        <w:numPr>
          <w:ilvl w:val="1"/>
          <w:numId w:val="2"/>
        </w:numPr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Mi operación de producción de cultivos solicitará permiso antes de </w:t>
      </w:r>
      <w:r w:rsidR="00394A65">
        <w:rPr>
          <w:rFonts w:asciiTheme="majorHAnsi" w:eastAsia="Calibri" w:hAnsiTheme="majorHAnsi" w:cstheme="majorHAnsi"/>
          <w:sz w:val="20"/>
          <w:szCs w:val="20"/>
          <w:lang w:val="es-ES"/>
        </w:rPr>
        <w:t>realizar la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2C0FD2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producción paralela en casos donde las variedades de cultivos no puedan ser fácilmente diferenciadas.</w:t>
      </w:r>
    </w:p>
    <w:p w14:paraId="667B5A82" w14:textId="5EAC735F" w:rsidR="00A34EFB" w:rsidRPr="0010104E" w:rsidRDefault="004631B8">
      <w:pPr>
        <w:numPr>
          <w:ilvl w:val="1"/>
          <w:numId w:val="2"/>
        </w:numPr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Si mi operación de 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producción de cultivos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ha sido autorizad</w:t>
      </w:r>
      <w:r w:rsidR="00360A10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a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para el uso de cobre como fungicida en la producción de perennes, solicitará permiso si necesita exceder el límite de 6 </w:t>
      </w:r>
      <w:proofErr w:type="spellStart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kgs</w:t>
      </w:r>
      <w:proofErr w:type="spellEnd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/hectárea/año este año.</w:t>
      </w:r>
    </w:p>
    <w:p w14:paraId="254C1E72" w14:textId="0CCBFDEE" w:rsidR="00A34EFB" w:rsidRPr="00337C7B" w:rsidRDefault="004631B8">
      <w:pPr>
        <w:numPr>
          <w:ilvl w:val="0"/>
          <w:numId w:val="2"/>
        </w:numPr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333333"/>
          <w:sz w:val="20"/>
          <w:szCs w:val="20"/>
          <w:highlight w:val="white"/>
          <w:lang w:val="es-ES"/>
        </w:rPr>
        <w:t xml:space="preserve">Para operaciones de </w:t>
      </w:r>
      <w:r w:rsidR="00F22F44" w:rsidRPr="00256E5D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</w:t>
      </w:r>
      <w:r w:rsidR="00F22F44" w:rsidRPr="00337C7B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/manipulación</w:t>
      </w:r>
      <w:r w:rsidRPr="00337C7B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:</w:t>
      </w:r>
    </w:p>
    <w:p w14:paraId="7438C07F" w14:textId="1D86CCB7" w:rsidR="00A34EFB" w:rsidRPr="0010104E" w:rsidRDefault="004631B8">
      <w:pPr>
        <w:numPr>
          <w:ilvl w:val="1"/>
          <w:numId w:val="2"/>
        </w:numPr>
        <w:rPr>
          <w:rFonts w:asciiTheme="majorHAnsi" w:eastAsia="Calibri" w:hAnsiTheme="majorHAnsi" w:cstheme="majorHAnsi"/>
          <w:color w:val="333333"/>
          <w:sz w:val="20"/>
          <w:szCs w:val="20"/>
          <w:highlight w:val="white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Mi operación de </w:t>
      </w:r>
      <w:r w:rsidR="00F071E9" w:rsidRPr="00513790">
        <w:rPr>
          <w:rFonts w:asciiTheme="majorHAnsi" w:eastAsia="Calibri" w:hAnsiTheme="majorHAnsi" w:cstheme="majorHAnsi"/>
          <w:color w:val="333333"/>
          <w:sz w:val="20"/>
          <w:szCs w:val="20"/>
          <w:lang w:val="es-ES"/>
        </w:rPr>
        <w:t>procesamiento/manipulación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solicitará permiso si desea usar aditivos sintéticos o agentes de procesamiento en la preparación o conservación de alimentos antes de su procesamiento este año. </w:t>
      </w:r>
    </w:p>
    <w:p w14:paraId="403DB41C" w14:textId="77777777" w:rsidR="00A34EFB" w:rsidRPr="0010104E" w:rsidRDefault="00A34EFB">
      <w:pPr>
        <w:spacing w:before="60"/>
        <w:rPr>
          <w:rFonts w:asciiTheme="majorHAnsi" w:eastAsia="Calibri" w:hAnsiTheme="majorHAnsi" w:cstheme="majorHAnsi"/>
          <w:b/>
          <w:sz w:val="22"/>
          <w:szCs w:val="22"/>
          <w:u w:val="single"/>
          <w:lang w:val="es-ES"/>
        </w:rPr>
      </w:pPr>
      <w:bookmarkStart w:id="1" w:name="_1ci93xb" w:colFirst="0" w:colLast="0"/>
      <w:bookmarkEnd w:id="1"/>
    </w:p>
    <w:p w14:paraId="4B4F3D64" w14:textId="77777777" w:rsidR="00877700" w:rsidRDefault="00877700">
      <w:pPr>
        <w:spacing w:before="60"/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</w:pPr>
    </w:p>
    <w:p w14:paraId="1A336646" w14:textId="2789F466" w:rsidR="00A34EFB" w:rsidRPr="0010104E" w:rsidRDefault="004631B8" w:rsidP="0075473B">
      <w:pPr>
        <w:spacing w:before="60" w:after="120"/>
        <w:rPr>
          <w:rFonts w:asciiTheme="majorHAnsi" w:eastAsia="Calibri" w:hAnsiTheme="majorHAnsi" w:cstheme="majorHAnsi"/>
          <w:b/>
          <w:sz w:val="22"/>
          <w:szCs w:val="22"/>
          <w:u w:val="single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lastRenderedPageBreak/>
        <w:t xml:space="preserve">Sección 3: Para </w:t>
      </w:r>
      <w:r w:rsidR="00877700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los </w:t>
      </w: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>grupos de productores solamente:</w:t>
      </w:r>
    </w:p>
    <w:p w14:paraId="40E74593" w14:textId="063AEAD5" w:rsidR="00A34EFB" w:rsidRPr="0010104E" w:rsidRDefault="001B6D1A" w:rsidP="0075473B">
      <w:pPr>
        <w:spacing w:before="60" w:after="120"/>
        <w:ind w:left="63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En caso de que m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i operación </w:t>
      </w:r>
      <w:r w:rsidR="00877700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es un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grupo de </w:t>
      </w:r>
      <w:r w:rsidR="00F368A4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productores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, 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h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adjuntado la siguiente información y la</w:t>
      </w:r>
      <w:r w:rsidR="00877700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enviar</w:t>
      </w:r>
      <w:r w:rsidR="0026039C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é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junto el </w:t>
      </w:r>
      <w:r w:rsidR="002A6373">
        <w:rPr>
          <w:rFonts w:asciiTheme="majorHAnsi" w:eastAsia="Calibri" w:hAnsiTheme="majorHAnsi" w:cstheme="majorHAnsi"/>
          <w:sz w:val="20"/>
          <w:szCs w:val="20"/>
          <w:lang w:val="es-ES"/>
        </w:rPr>
        <w:t>formato</w:t>
      </w:r>
      <w:r w:rsidR="002A6373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de Actualización del </w:t>
      </w:r>
      <w:r w:rsidR="0026039C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P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lan </w:t>
      </w:r>
      <w:r w:rsidR="0026039C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O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rgánico</w:t>
      </w:r>
      <w:r w:rsidR="00580017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(OSP</w:t>
      </w:r>
      <w:r w:rsidR="0026039C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por sus siglas en inglés</w:t>
      </w:r>
      <w:r w:rsidR="00580017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)</w:t>
      </w:r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de </w:t>
      </w:r>
      <w:proofErr w:type="spellStart"/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Oregon</w:t>
      </w:r>
      <w:proofErr w:type="spellEnd"/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proofErr w:type="spellStart"/>
      <w:r w:rsidR="004631B8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Tilth</w:t>
      </w:r>
      <w:proofErr w:type="spellEnd"/>
      <w:r w:rsidR="00580017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:</w:t>
      </w:r>
    </w:p>
    <w:p w14:paraId="1A593397" w14:textId="1D9FBCF9" w:rsidR="008777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hyperlink r:id="rId12" w:history="1">
        <w:r w:rsidR="00877700" w:rsidRPr="00CF5769">
          <w:rPr>
            <w:rStyle w:val="Hyperlink"/>
            <w:rFonts w:asciiTheme="majorHAnsi" w:eastAsia="Calibri" w:hAnsiTheme="majorHAnsi" w:cstheme="majorHAnsi"/>
            <w:sz w:val="20"/>
            <w:szCs w:val="20"/>
            <w:lang w:val="es-ES"/>
          </w:rPr>
          <w:t>La Lista de miembros del grupo de productores de OTCO</w:t>
        </w:r>
      </w:hyperlink>
      <w:r w:rsidR="00877700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, que incluye las actualizaciones de sus miembros y parcelas.</w:t>
      </w:r>
    </w:p>
    <w:p w14:paraId="5269094C" w14:textId="4343B8E5" w:rsidR="00A34EFB" w:rsidRPr="0010104E" w:rsidRDefault="00463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Lista</w:t>
      </w:r>
      <w:r w:rsidR="00580017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actualizada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</w:t>
      </w:r>
      <w:r w:rsidR="00877700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que incluye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 xml:space="preserve"> todos los sitios de </w:t>
      </w:r>
      <w:r w:rsidR="00580017"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acopio</w:t>
      </w:r>
      <w:r w:rsidRPr="0010104E"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  <w:t>, sitios de almacenamiento, centros de empaque, y centros de distribución.</w:t>
      </w:r>
    </w:p>
    <w:p w14:paraId="2296982E" w14:textId="0A434234" w:rsidR="00A34EFB" w:rsidRPr="0010104E" w:rsidRDefault="004631B8">
      <w:pPr>
        <w:numPr>
          <w:ilvl w:val="0"/>
          <w:numId w:val="1"/>
        </w:numPr>
        <w:rPr>
          <w:rFonts w:asciiTheme="majorHAnsi" w:eastAsia="Calibri" w:hAnsiTheme="majorHAnsi" w:cstheme="majorHAnsi"/>
          <w:color w:val="000000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Documentación </w:t>
      </w:r>
      <w:r w:rsidR="00E6336F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actualizada 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respecto a cualquier aspecto de mi Sistema de </w:t>
      </w:r>
      <w:r w:rsidR="00973459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C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ontrol </w:t>
      </w:r>
      <w:r w:rsidR="00973459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I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nterno que se haya actualizado desde mi última inspección</w:t>
      </w:r>
      <w:r w:rsidR="00E6336F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con OTCO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. </w:t>
      </w:r>
    </w:p>
    <w:p w14:paraId="0658E1F3" w14:textId="77777777" w:rsidR="00A34EFB" w:rsidRPr="0010104E" w:rsidRDefault="00A34EFB">
      <w:pPr>
        <w:spacing w:before="60"/>
        <w:rPr>
          <w:rFonts w:asciiTheme="majorHAnsi" w:eastAsia="Calibri" w:hAnsiTheme="majorHAnsi" w:cstheme="majorHAnsi"/>
          <w:b/>
          <w:sz w:val="22"/>
          <w:szCs w:val="22"/>
          <w:u w:val="single"/>
          <w:lang w:val="es-ES"/>
        </w:rPr>
      </w:pPr>
    </w:p>
    <w:p w14:paraId="1AE0D476" w14:textId="77777777" w:rsidR="00A34EFB" w:rsidRPr="0010104E" w:rsidRDefault="004631B8">
      <w:pPr>
        <w:spacing w:before="60"/>
        <w:rPr>
          <w:rFonts w:asciiTheme="majorHAnsi" w:eastAsia="Calibri" w:hAnsiTheme="majorHAnsi" w:cstheme="majorHAnsi"/>
          <w:b/>
          <w:sz w:val="22"/>
          <w:szCs w:val="22"/>
          <w:u w:val="single"/>
          <w:lang w:val="es-ES"/>
        </w:rPr>
      </w:pPr>
      <w:r w:rsidRPr="0010104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s-ES"/>
        </w:rPr>
        <w:t xml:space="preserve">Sección 4: Firme el Acuerdo para la Continuación de Certificación </w:t>
      </w:r>
    </w:p>
    <w:p w14:paraId="3E437AA6" w14:textId="4845C6D9" w:rsidR="00A34EFB" w:rsidRPr="0010104E" w:rsidRDefault="004631B8">
      <w:pPr>
        <w:spacing w:before="60" w:after="120"/>
        <w:ind w:left="274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Al firmar este </w:t>
      </w:r>
      <w:r w:rsidR="00620769">
        <w:rPr>
          <w:rFonts w:asciiTheme="majorHAnsi" w:eastAsia="Calibri" w:hAnsiTheme="majorHAnsi" w:cstheme="majorHAnsi"/>
          <w:sz w:val="20"/>
          <w:szCs w:val="20"/>
          <w:lang w:val="es-ES"/>
        </w:rPr>
        <w:t>formato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, usted declara que:</w:t>
      </w:r>
    </w:p>
    <w:p w14:paraId="3DC50C98" w14:textId="77777777" w:rsidR="00A34EFB" w:rsidRPr="0010104E" w:rsidRDefault="004631B8" w:rsidP="00A54033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Ha leído la información de arriba y afirma que es la verdad al mejor de su conocimiento. </w:t>
      </w:r>
    </w:p>
    <w:p w14:paraId="6A334D72" w14:textId="2D2B1BF5" w:rsidR="00ED4FEB" w:rsidRPr="0010104E" w:rsidRDefault="00ED4FEB" w:rsidP="00A54033">
      <w:pPr>
        <w:pStyle w:val="ListParagraph"/>
        <w:numPr>
          <w:ilvl w:val="0"/>
          <w:numId w:val="9"/>
        </w:numPr>
        <w:tabs>
          <w:tab w:val="left" w:pos="360"/>
        </w:tabs>
        <w:ind w:right="45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Que usted está debidamente autori</w:t>
      </w:r>
      <w:r w:rsidR="000C7457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zado para vincular al Operador con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este Acuerdo. </w:t>
      </w:r>
    </w:p>
    <w:p w14:paraId="1DEC7C21" w14:textId="3EE72708" w:rsidR="00ED4FEB" w:rsidRPr="0010104E" w:rsidRDefault="00ED4FEB" w:rsidP="00A54033">
      <w:pPr>
        <w:pStyle w:val="ListParagraph"/>
        <w:numPr>
          <w:ilvl w:val="0"/>
          <w:numId w:val="9"/>
        </w:numPr>
        <w:tabs>
          <w:tab w:val="left" w:pos="360"/>
        </w:tabs>
        <w:ind w:right="45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Que ha presentado todos los formatos y documentos solicitados por medio de la información aquí señalada.</w:t>
      </w:r>
    </w:p>
    <w:p w14:paraId="4B80F856" w14:textId="37AC4091" w:rsidR="00A54033" w:rsidRPr="0010104E" w:rsidRDefault="004631B8" w:rsidP="00ED4FEB">
      <w:pPr>
        <w:pStyle w:val="ListParagraph"/>
        <w:numPr>
          <w:ilvl w:val="0"/>
          <w:numId w:val="9"/>
        </w:numPr>
        <w:tabs>
          <w:tab w:val="left" w:pos="360"/>
        </w:tabs>
        <w:ind w:right="450"/>
        <w:rPr>
          <w:rFonts w:asciiTheme="majorHAnsi" w:eastAsia="Calibri" w:hAnsiTheme="majorHAnsi" w:cstheme="majorHAnsi"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Usted afirma que ha leído, entiende completamente, y acepta ser obligado </w:t>
      </w:r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por medio de </w:t>
      </w:r>
      <w:r w:rsidR="00F368A4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este acuerdo</w:t>
      </w:r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, el cual incluye </w:t>
      </w:r>
      <w:r w:rsidR="00ED4FEB" w:rsidRPr="0010104E">
        <w:rPr>
          <w:rFonts w:asciiTheme="majorHAnsi" w:eastAsia="Calibri" w:hAnsiTheme="majorHAnsi" w:cstheme="majorHAnsi"/>
          <w:i/>
          <w:sz w:val="20"/>
          <w:szCs w:val="20"/>
          <w:lang w:val="es-ES"/>
        </w:rPr>
        <w:t xml:space="preserve">los </w:t>
      </w:r>
      <w:r w:rsidR="00AC5707" w:rsidRPr="0010104E">
        <w:rPr>
          <w:rFonts w:asciiTheme="majorHAnsi" w:eastAsia="Calibri" w:hAnsiTheme="majorHAnsi" w:cstheme="majorHAnsi"/>
          <w:i/>
          <w:sz w:val="20"/>
          <w:szCs w:val="20"/>
          <w:lang w:val="es-ES" w:bidi="es-ES"/>
        </w:rPr>
        <w:t xml:space="preserve">Términos y Condiciones – Uso de los Servicios de Certificación y </w:t>
      </w:r>
      <w:r w:rsidR="00AC5707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 w:bidi="es-ES"/>
        </w:rPr>
        <w:t xml:space="preserve">de Marca de </w:t>
      </w:r>
      <w:proofErr w:type="spellStart"/>
      <w:r w:rsidR="00AC5707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 w:bidi="es-ES"/>
        </w:rPr>
        <w:t>Oregon</w:t>
      </w:r>
      <w:proofErr w:type="spellEnd"/>
      <w:r w:rsidR="00AC5707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 w:bidi="es-ES"/>
        </w:rPr>
        <w:t xml:space="preserve"> </w:t>
      </w:r>
      <w:proofErr w:type="spellStart"/>
      <w:r w:rsidR="00AC5707" w:rsidRPr="0010104E">
        <w:rPr>
          <w:rFonts w:asciiTheme="majorHAnsi" w:eastAsia="Calibri" w:hAnsiTheme="majorHAnsi" w:cstheme="majorHAnsi"/>
          <w:i/>
          <w:iCs/>
          <w:sz w:val="20"/>
          <w:szCs w:val="20"/>
          <w:lang w:val="es-ES" w:bidi="es-ES"/>
        </w:rPr>
        <w:t>Tilth</w:t>
      </w:r>
      <w:proofErr w:type="spellEnd"/>
      <w:r w:rsidR="00ED4FEB" w:rsidRPr="0010104E">
        <w:rPr>
          <w:rFonts w:asciiTheme="majorHAnsi" w:eastAsia="Calibri" w:hAnsiTheme="majorHAnsi" w:cstheme="majorHAnsi"/>
          <w:i/>
          <w:sz w:val="20"/>
          <w:szCs w:val="20"/>
          <w:lang w:val="es-ES"/>
        </w:rPr>
        <w:t>,</w:t>
      </w:r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mismos incorporados en la presente por medio de referencia, y los cuales comprenden un único acuerdo vinculante </w:t>
      </w:r>
      <w:r w:rsidR="00F912FE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 integrado</w:t>
      </w:r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en su totalidad entre el operador y OTCO. En caso de no incluirse adjunta, una copia de los </w:t>
      </w:r>
      <w:r w:rsidR="00F368A4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Términos</w:t>
      </w:r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y Condiciones está también disponible en </w:t>
      </w:r>
      <w:hyperlink r:id="rId13" w:history="1">
        <w:r w:rsidR="00877700">
          <w:rPr>
            <w:rStyle w:val="Hyperlink"/>
            <w:rFonts w:asciiTheme="majorHAnsi" w:eastAsia="Calibri" w:hAnsiTheme="majorHAnsi" w:cstheme="majorHAnsi"/>
            <w:sz w:val="20"/>
            <w:szCs w:val="20"/>
            <w:lang w:val="es-ES"/>
          </w:rPr>
          <w:t>esp</w:t>
        </w:r>
        <w:r w:rsidR="00877700" w:rsidRPr="0010104E">
          <w:rPr>
            <w:rStyle w:val="Hyperlink"/>
            <w:rFonts w:asciiTheme="majorHAnsi" w:eastAsia="Calibri" w:hAnsiTheme="majorHAnsi" w:cstheme="majorHAnsi"/>
            <w:sz w:val="20"/>
            <w:szCs w:val="20"/>
            <w:lang w:val="es-ES"/>
          </w:rPr>
          <w:t>.tilth.org</w:t>
        </w:r>
      </w:hyperlink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. El operador </w:t>
      </w:r>
      <w:r w:rsidR="00F368A4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no</w:t>
      </w:r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deberá ejecutar este acuerdo hasta no haber revisado y </w:t>
      </w:r>
      <w:r w:rsidR="000C7457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aceptado</w:t>
      </w:r>
      <w:r w:rsidR="00ED4FEB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los Términos y Condiciones. </w:t>
      </w:r>
    </w:p>
    <w:p w14:paraId="1EFACE5B" w14:textId="781326BD" w:rsidR="00ED4FEB" w:rsidRPr="00C23017" w:rsidRDefault="00ED4FEB" w:rsidP="00A54033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ajorHAnsi" w:eastAsia="Calibri" w:hAnsiTheme="majorHAnsi" w:cstheme="majorHAnsi"/>
          <w:b/>
          <w:sz w:val="20"/>
          <w:szCs w:val="20"/>
          <w:lang w:val="es-ES"/>
        </w:rPr>
      </w:pPr>
      <w:r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Usted cumplirá con los </w:t>
      </w:r>
      <w:r w:rsidR="00F85424"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>t</w:t>
      </w:r>
      <w:r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érminos y </w:t>
      </w:r>
      <w:r w:rsidR="00F85424"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>c</w:t>
      </w:r>
      <w:r w:rsidRPr="00C23017">
        <w:rPr>
          <w:rFonts w:asciiTheme="majorHAnsi" w:eastAsia="Calibri" w:hAnsiTheme="majorHAnsi" w:cstheme="majorHAnsi"/>
          <w:sz w:val="20"/>
          <w:szCs w:val="20"/>
          <w:lang w:val="es-ES"/>
        </w:rPr>
        <w:t>ondiciones establecidos por medio de la presente.</w:t>
      </w:r>
    </w:p>
    <w:p w14:paraId="03C0094B" w14:textId="3FE32007" w:rsidR="005C6774" w:rsidRPr="0010104E" w:rsidRDefault="005C6774" w:rsidP="00A54033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ajorHAnsi" w:eastAsia="Calibri" w:hAnsiTheme="majorHAnsi" w:cstheme="majorHAnsi"/>
          <w:b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Usted afirma que ha leído, comprendido completamente y accedido a ser vinculado por los </w:t>
      </w:r>
      <w:r w:rsidR="00F368A4"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estándares</w:t>
      </w: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, procedimientos, tarifas, políticas, evaluaciones, obligaciones y requisitos como se expone en los Manuales de Procedimiento de </w:t>
      </w:r>
      <w:proofErr w:type="spellStart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Oregon</w:t>
      </w:r>
      <w:proofErr w:type="spellEnd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proofErr w:type="spellStart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Tilth</w:t>
      </w:r>
      <w:proofErr w:type="spellEnd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actualizados que se encuentran en </w:t>
      </w:r>
      <w:hyperlink r:id="rId14" w:history="1">
        <w:r w:rsidRPr="0010104E">
          <w:rPr>
            <w:rStyle w:val="Hyperlink"/>
            <w:rFonts w:asciiTheme="majorHAnsi" w:eastAsia="Calibri" w:hAnsiTheme="majorHAnsi" w:cstheme="majorHAnsi"/>
            <w:sz w:val="20"/>
            <w:szCs w:val="20"/>
            <w:lang w:val="es-ES"/>
          </w:rPr>
          <w:t>https://esp.tilth.org/certificacion/proceso-de-certificacion/</w:t>
        </w:r>
      </w:hyperlink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.</w:t>
      </w:r>
    </w:p>
    <w:p w14:paraId="2DC3E245" w14:textId="79313C03" w:rsidR="00A34EFB" w:rsidRPr="0010104E" w:rsidRDefault="004631B8" w:rsidP="00A54033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ajorHAnsi" w:eastAsia="Calibri" w:hAnsiTheme="majorHAnsi" w:cstheme="majorHAnsi"/>
          <w:b/>
          <w:sz w:val="20"/>
          <w:szCs w:val="20"/>
          <w:lang w:val="es-ES"/>
        </w:rPr>
      </w:pPr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Usted continuará operando de acuerdo con los estándares aplicables y políticas de </w:t>
      </w:r>
      <w:proofErr w:type="spellStart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Oregon</w:t>
      </w:r>
      <w:proofErr w:type="spellEnd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 xml:space="preserve"> </w:t>
      </w:r>
      <w:proofErr w:type="spellStart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Tilth</w:t>
      </w:r>
      <w:proofErr w:type="spellEnd"/>
      <w:r w:rsidRPr="0010104E">
        <w:rPr>
          <w:rFonts w:asciiTheme="majorHAnsi" w:eastAsia="Calibri" w:hAnsiTheme="majorHAnsi" w:cstheme="majorHAnsi"/>
          <w:sz w:val="20"/>
          <w:szCs w:val="20"/>
          <w:lang w:val="es-ES"/>
        </w:rPr>
        <w:t>.</w:t>
      </w:r>
    </w:p>
    <w:p w14:paraId="4ECC418A" w14:textId="77777777" w:rsidR="00A54033" w:rsidRPr="0010104E" w:rsidRDefault="00A54033" w:rsidP="00A54033">
      <w:pPr>
        <w:tabs>
          <w:tab w:val="left" w:pos="360"/>
        </w:tabs>
        <w:rPr>
          <w:rFonts w:asciiTheme="majorHAnsi" w:eastAsia="Calibri" w:hAnsiTheme="majorHAnsi" w:cstheme="majorHAnsi"/>
          <w:b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2887" w14:paraId="087598F8" w14:textId="77777777" w:rsidTr="005C5714">
        <w:trPr>
          <w:trHeight w:val="980"/>
        </w:trPr>
        <w:tc>
          <w:tcPr>
            <w:tcW w:w="10790" w:type="dxa"/>
          </w:tcPr>
          <w:p w14:paraId="26D73D32" w14:textId="0AF9801C" w:rsidR="00D72887" w:rsidRPr="00256E5D" w:rsidRDefault="00D72887" w:rsidP="00D7288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</w:pPr>
            <w:r w:rsidRPr="00256E5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MX"/>
              </w:rPr>
              <w:t>Información importante sobre firmas electrónicas</w:t>
            </w:r>
            <w:r w:rsidRPr="00256E5D"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  <w:t xml:space="preserve">: Oregon Tilth reconoce y permite el uso de firmas electrónicas en el desarrollo de su negocio. Al marcar la siguiente </w:t>
            </w:r>
            <w:r w:rsidR="00F912FE" w:rsidRPr="00256E5D"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  <w:t>casilla</w:t>
            </w:r>
            <w:r w:rsidRPr="00256E5D"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  <w:t xml:space="preserve">, acepta voluntariamente el uso de firmas electrónicas en la realización del negocio con Oregon Tilth. </w:t>
            </w:r>
          </w:p>
          <w:p w14:paraId="790679A5" w14:textId="00F7D3EB" w:rsidR="00D72887" w:rsidRPr="005C5714" w:rsidRDefault="00D72887" w:rsidP="005C57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E5D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E5D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fldChar w:fldCharType="separate"/>
            </w:r>
            <w:r w:rsidRPr="00256E5D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fldChar w:fldCharType="end"/>
            </w:r>
            <w:r w:rsidRPr="00256E5D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t xml:space="preserve">  </w:t>
            </w:r>
            <w:r w:rsidR="000E1635" w:rsidRPr="00256E5D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t xml:space="preserve">ESTOY DE </w:t>
            </w:r>
            <w:r w:rsidRPr="00256E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ACUERDO</w:t>
            </w:r>
          </w:p>
        </w:tc>
      </w:tr>
    </w:tbl>
    <w:p w14:paraId="30268777" w14:textId="77777777" w:rsidR="00D72887" w:rsidRDefault="00D72887" w:rsidP="00A54033">
      <w:pPr>
        <w:tabs>
          <w:tab w:val="left" w:pos="360"/>
        </w:tabs>
        <w:rPr>
          <w:rFonts w:asciiTheme="majorHAnsi" w:eastAsia="Calibri" w:hAnsiTheme="majorHAnsi" w:cstheme="majorHAnsi"/>
          <w:b/>
          <w:sz w:val="20"/>
          <w:szCs w:val="20"/>
          <w:lang w:val="es-ES"/>
        </w:rPr>
      </w:pPr>
    </w:p>
    <w:p w14:paraId="0CFB281F" w14:textId="2C0E0019" w:rsidR="00D72887" w:rsidRPr="0010104E" w:rsidRDefault="00D72887" w:rsidP="00A54033">
      <w:pPr>
        <w:tabs>
          <w:tab w:val="left" w:pos="360"/>
        </w:tabs>
        <w:rPr>
          <w:rFonts w:asciiTheme="majorHAnsi" w:eastAsia="Calibri" w:hAnsiTheme="majorHAnsi" w:cstheme="majorHAnsi"/>
          <w:b/>
          <w:sz w:val="20"/>
          <w:szCs w:val="20"/>
          <w:lang w:val="es-ES"/>
        </w:rPr>
        <w:sectPr w:rsidR="00D72887" w:rsidRPr="0010104E" w:rsidSect="00B814E2">
          <w:headerReference w:type="default" r:id="rId15"/>
          <w:footerReference w:type="even" r:id="rId16"/>
          <w:footerReference w:type="default" r:id="rId17"/>
          <w:pgSz w:w="12240" w:h="15840"/>
          <w:pgMar w:top="1152" w:right="720" w:bottom="864" w:left="720" w:header="720" w:footer="720" w:gutter="0"/>
          <w:pgNumType w:start="1"/>
          <w:cols w:space="720" w:equalWidth="0">
            <w:col w:w="10800"/>
          </w:cols>
        </w:sectPr>
      </w:pPr>
    </w:p>
    <w:tbl>
      <w:tblPr>
        <w:tblW w:w="101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62"/>
        <w:gridCol w:w="6390"/>
        <w:gridCol w:w="720"/>
        <w:gridCol w:w="1980"/>
      </w:tblGrid>
      <w:tr w:rsidR="005C6774" w:rsidRPr="00E1466C" w14:paraId="61E4DD35" w14:textId="77777777" w:rsidTr="00713595">
        <w:trPr>
          <w:gridAfter w:val="2"/>
          <w:wAfter w:w="2700" w:type="dxa"/>
          <w:trHeight w:val="288"/>
        </w:trPr>
        <w:tc>
          <w:tcPr>
            <w:tcW w:w="1062" w:type="dxa"/>
          </w:tcPr>
          <w:p w14:paraId="0553B0FF" w14:textId="3F9D62C0" w:rsidR="005C6774" w:rsidRPr="0010104E" w:rsidRDefault="005C6774" w:rsidP="00713595">
            <w:pPr>
              <w:spacing w:before="120"/>
              <w:ind w:right="-43"/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lang w:val="es-ES"/>
              </w:rPr>
            </w:pPr>
            <w:r w:rsidRPr="001010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76B9CAF9" w14:textId="20CC6E7A" w:rsidR="005C6774" w:rsidRPr="0010104E" w:rsidRDefault="00172192" w:rsidP="00713595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separate"/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197397" w:rsidRPr="00E1466C" w14:paraId="0C0EC56A" w14:textId="77777777" w:rsidTr="00A54033">
        <w:trPr>
          <w:trHeight w:val="288"/>
        </w:trPr>
        <w:tc>
          <w:tcPr>
            <w:tcW w:w="1062" w:type="dxa"/>
          </w:tcPr>
          <w:p w14:paraId="1A3EF0B3" w14:textId="77777777" w:rsidR="00A54033" w:rsidRPr="0010104E" w:rsidRDefault="004631B8" w:rsidP="00C12FA8">
            <w:pPr>
              <w:spacing w:before="120"/>
              <w:ind w:right="-43"/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lang w:val="es-ES"/>
              </w:rPr>
            </w:pPr>
            <w:r w:rsidRPr="001010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7BA4C8C8" w14:textId="66D53F45" w:rsidR="00A54033" w:rsidRPr="0010104E" w:rsidRDefault="00172192" w:rsidP="00C12FA8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separate"/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BB7A4FA" w14:textId="77777777" w:rsidR="00A54033" w:rsidRPr="0010104E" w:rsidRDefault="004631B8" w:rsidP="00C12FA8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1010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F4102A1" w14:textId="4D731112" w:rsidR="00A54033" w:rsidRPr="0010104E" w:rsidRDefault="00172192" w:rsidP="00C12FA8">
            <w:pPr>
              <w:spacing w:before="60"/>
              <w:ind w:left="-108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" w:name="Text131"/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separate"/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 w:rsidR="00162300">
              <w:rPr>
                <w:rFonts w:asciiTheme="majorHAnsi" w:hAnsiTheme="majorHAnsi" w:cstheme="maj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</w:tbl>
    <w:p w14:paraId="2DB82EB4" w14:textId="77777777" w:rsidR="00A34EFB" w:rsidRPr="0010104E" w:rsidRDefault="00A34EFB" w:rsidP="00A54033">
      <w:pPr>
        <w:spacing w:before="360"/>
        <w:rPr>
          <w:rFonts w:asciiTheme="majorHAnsi" w:eastAsia="Calibri" w:hAnsiTheme="majorHAnsi" w:cstheme="majorHAnsi"/>
          <w:b/>
          <w:lang w:val="es-ES"/>
        </w:rPr>
      </w:pPr>
    </w:p>
    <w:sectPr w:rsidR="00A34EFB" w:rsidRPr="0010104E">
      <w:type w:val="continuous"/>
      <w:pgSz w:w="12240" w:h="15840"/>
      <w:pgMar w:top="1152" w:right="720" w:bottom="1152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BC9D" w14:textId="77777777" w:rsidR="00A02191" w:rsidRDefault="00A02191">
      <w:r>
        <w:separator/>
      </w:r>
    </w:p>
  </w:endnote>
  <w:endnote w:type="continuationSeparator" w:id="0">
    <w:p w14:paraId="4B167FB1" w14:textId="77777777" w:rsidR="00A02191" w:rsidRDefault="00A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0641" w14:textId="77777777" w:rsidR="00A34EFB" w:rsidRDefault="004631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E0EF1D" w14:textId="77777777" w:rsidR="00A34EFB" w:rsidRDefault="00A34E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1409" w14:textId="77777777" w:rsidR="00A34EFB" w:rsidRDefault="00A34E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5374517E" w14:textId="31A26991" w:rsidR="00A34EFB" w:rsidRDefault="004631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  <w:r>
      <w:rPr>
        <w:color w:val="000000"/>
        <w:sz w:val="18"/>
        <w:szCs w:val="18"/>
        <w:lang w:val="es-MX"/>
      </w:rPr>
      <w:t xml:space="preserve">Rev. </w:t>
    </w:r>
    <w:r w:rsidR="00C845CC">
      <w:rPr>
        <w:color w:val="000000"/>
        <w:sz w:val="18"/>
        <w:szCs w:val="18"/>
        <w:lang w:val="es-MX"/>
      </w:rPr>
      <w:t>2023/</w:t>
    </w:r>
    <w:r w:rsidR="00413970">
      <w:rPr>
        <w:color w:val="000000"/>
        <w:sz w:val="18"/>
        <w:szCs w:val="18"/>
        <w:lang w:val="es-MX"/>
      </w:rPr>
      <w:t>11/01</w:t>
    </w:r>
    <w:r>
      <w:rPr>
        <w:color w:val="000000"/>
        <w:sz w:val="18"/>
        <w:szCs w:val="18"/>
        <w:lang w:val="es-MX"/>
      </w:rPr>
      <w:tab/>
    </w:r>
    <w:r>
      <w:rPr>
        <w:color w:val="000000"/>
        <w:sz w:val="18"/>
        <w:szCs w:val="18"/>
        <w:lang w:val="es-MX"/>
      </w:rPr>
      <w:tab/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C745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  <w:lang w:val="es-MX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0C7457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9F0D" w14:textId="77777777" w:rsidR="00A02191" w:rsidRDefault="00A02191">
      <w:r>
        <w:separator/>
      </w:r>
    </w:p>
  </w:footnote>
  <w:footnote w:type="continuationSeparator" w:id="0">
    <w:p w14:paraId="7A61BEAC" w14:textId="77777777" w:rsidR="00A02191" w:rsidRDefault="00A0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951C" w14:textId="5709F3B9" w:rsidR="00A34EFB" w:rsidRPr="0010104E" w:rsidRDefault="000E16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  <w:lang w:val="es-MX"/>
      </w:rPr>
    </w:pPr>
    <w:r>
      <w:rPr>
        <w:color w:val="000000"/>
        <w:sz w:val="18"/>
        <w:szCs w:val="18"/>
        <w:lang w:val="es-MX"/>
      </w:rPr>
      <w:t>Solicitud de a</w:t>
    </w:r>
    <w:r w:rsidR="004631B8">
      <w:rPr>
        <w:color w:val="000000"/>
        <w:sz w:val="18"/>
        <w:szCs w:val="18"/>
        <w:lang w:val="es-MX"/>
      </w:rPr>
      <w:t>ctualización del plan orgánico</w:t>
    </w:r>
    <w:r>
      <w:rPr>
        <w:color w:val="000000"/>
        <w:sz w:val="18"/>
        <w:szCs w:val="18"/>
        <w:lang w:val="es-MX"/>
      </w:rPr>
      <w:t xml:space="preserve"> de Oregon Tilth</w:t>
    </w:r>
    <w:r w:rsidR="004631B8">
      <w:rPr>
        <w:color w:val="000000"/>
        <w:sz w:val="18"/>
        <w:szCs w:val="18"/>
        <w:lang w:val="es-MX"/>
      </w:rPr>
      <w:t xml:space="preserve"> - </w:t>
    </w:r>
    <w:r w:rsidR="004631B8">
      <w:rPr>
        <w:sz w:val="18"/>
        <w:szCs w:val="18"/>
        <w:lang w:val="es-MX"/>
      </w:rPr>
      <w:t xml:space="preserve">Apéndice </w:t>
    </w:r>
    <w:r w:rsidR="00254B8A">
      <w:rPr>
        <w:sz w:val="18"/>
        <w:szCs w:val="18"/>
        <w:lang w:val="es-MX"/>
      </w:rPr>
      <w:t xml:space="preserve">de </w:t>
    </w:r>
    <w:r w:rsidR="004631B8">
      <w:rPr>
        <w:sz w:val="18"/>
        <w:szCs w:val="18"/>
        <w:lang w:val="es-MX"/>
      </w:rPr>
      <w:t xml:space="preserve">programas internacionales </w:t>
    </w:r>
    <w:r w:rsidR="004631B8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8F0295B" wp14:editId="306F7D53">
          <wp:simplePos x="0" y="0"/>
          <wp:positionH relativeFrom="column">
            <wp:posOffset>5855335</wp:posOffset>
          </wp:positionH>
          <wp:positionV relativeFrom="paragraph">
            <wp:posOffset>-193674</wp:posOffset>
          </wp:positionV>
          <wp:extent cx="285115" cy="285115"/>
          <wp:effectExtent l="0" t="0" r="0" b="0"/>
          <wp:wrapSquare wrapText="bothSides"/>
          <wp:docPr id="1" name="image1.jpg" descr="OTCO black-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24174" name="image1.jpg" descr="Description: OTCO black-s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115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2A5"/>
    <w:multiLevelType w:val="hybridMultilevel"/>
    <w:tmpl w:val="6A8AA2E6"/>
    <w:lvl w:ilvl="0" w:tplc="02643750">
      <w:start w:val="1"/>
      <w:numFmt w:val="decimal"/>
      <w:lvlText w:val="(%1)"/>
      <w:lvlJc w:val="left"/>
      <w:pPr>
        <w:ind w:left="1074" w:hanging="440"/>
      </w:pPr>
      <w:rPr>
        <w:rFonts w:hint="default"/>
        <w:b w:val="0"/>
      </w:rPr>
    </w:lvl>
    <w:lvl w:ilvl="1" w:tplc="4922152C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9EC6BD66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6FDCB58E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A7DE6B1E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D564E264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DCB48D3A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913A098E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C9E6FF0E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9423C39"/>
    <w:multiLevelType w:val="multilevel"/>
    <w:tmpl w:val="42EE2554"/>
    <w:lvl w:ilvl="0">
      <w:start w:val="1"/>
      <w:numFmt w:val="bullet"/>
      <w:lvlText w:val="●"/>
      <w:lvlJc w:val="left"/>
      <w:pPr>
        <w:ind w:left="16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80" w:hanging="360"/>
      </w:pPr>
      <w:rPr>
        <w:u w:val="none"/>
      </w:rPr>
    </w:lvl>
  </w:abstractNum>
  <w:abstractNum w:abstractNumId="2" w15:restartNumberingAfterBreak="0">
    <w:nsid w:val="21DC3700"/>
    <w:multiLevelType w:val="multilevel"/>
    <w:tmpl w:val="73E8E428"/>
    <w:lvl w:ilvl="0">
      <w:start w:val="1"/>
      <w:numFmt w:val="upperLetter"/>
      <w:lvlText w:val="%1)"/>
      <w:lvlJc w:val="left"/>
      <w:pPr>
        <w:ind w:left="81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813"/>
    <w:multiLevelType w:val="hybridMultilevel"/>
    <w:tmpl w:val="510C941E"/>
    <w:lvl w:ilvl="0" w:tplc="E2D8FCC2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66D2FAB2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5B8AB84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8304912E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3384AE0E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164D608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927C3512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75085520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4094C100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300D0E1C"/>
    <w:multiLevelType w:val="multilevel"/>
    <w:tmpl w:val="E51057E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360960"/>
    <w:multiLevelType w:val="multilevel"/>
    <w:tmpl w:val="D430AF3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AD51C0"/>
    <w:multiLevelType w:val="multilevel"/>
    <w:tmpl w:val="088AE4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250955"/>
    <w:multiLevelType w:val="hybridMultilevel"/>
    <w:tmpl w:val="9B3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72EF"/>
    <w:multiLevelType w:val="multilevel"/>
    <w:tmpl w:val="73E8E428"/>
    <w:lvl w:ilvl="0">
      <w:start w:val="1"/>
      <w:numFmt w:val="upperLetter"/>
      <w:lvlText w:val="%1)"/>
      <w:lvlJc w:val="left"/>
      <w:pPr>
        <w:ind w:left="81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C247B"/>
    <w:multiLevelType w:val="hybridMultilevel"/>
    <w:tmpl w:val="7DAEF96C"/>
    <w:lvl w:ilvl="0" w:tplc="ED509EE2">
      <w:start w:val="1"/>
      <w:numFmt w:val="decimal"/>
      <w:lvlText w:val="(%1)"/>
      <w:lvlJc w:val="left"/>
      <w:pPr>
        <w:ind w:left="714" w:hanging="440"/>
      </w:pPr>
      <w:rPr>
        <w:rFonts w:hint="default"/>
      </w:rPr>
    </w:lvl>
    <w:lvl w:ilvl="1" w:tplc="ADA05EFC" w:tentative="1">
      <w:start w:val="1"/>
      <w:numFmt w:val="lowerLetter"/>
      <w:lvlText w:val="%2."/>
      <w:lvlJc w:val="left"/>
      <w:pPr>
        <w:ind w:left="1354" w:hanging="360"/>
      </w:pPr>
    </w:lvl>
    <w:lvl w:ilvl="2" w:tplc="7A5C9A24" w:tentative="1">
      <w:start w:val="1"/>
      <w:numFmt w:val="lowerRoman"/>
      <w:lvlText w:val="%3."/>
      <w:lvlJc w:val="right"/>
      <w:pPr>
        <w:ind w:left="2074" w:hanging="180"/>
      </w:pPr>
    </w:lvl>
    <w:lvl w:ilvl="3" w:tplc="E90C3124" w:tentative="1">
      <w:start w:val="1"/>
      <w:numFmt w:val="decimal"/>
      <w:lvlText w:val="%4."/>
      <w:lvlJc w:val="left"/>
      <w:pPr>
        <w:ind w:left="2794" w:hanging="360"/>
      </w:pPr>
    </w:lvl>
    <w:lvl w:ilvl="4" w:tplc="B7B62F84" w:tentative="1">
      <w:start w:val="1"/>
      <w:numFmt w:val="lowerLetter"/>
      <w:lvlText w:val="%5."/>
      <w:lvlJc w:val="left"/>
      <w:pPr>
        <w:ind w:left="3514" w:hanging="360"/>
      </w:pPr>
    </w:lvl>
    <w:lvl w:ilvl="5" w:tplc="47D637EA" w:tentative="1">
      <w:start w:val="1"/>
      <w:numFmt w:val="lowerRoman"/>
      <w:lvlText w:val="%6."/>
      <w:lvlJc w:val="right"/>
      <w:pPr>
        <w:ind w:left="4234" w:hanging="180"/>
      </w:pPr>
    </w:lvl>
    <w:lvl w:ilvl="6" w:tplc="834C6462" w:tentative="1">
      <w:start w:val="1"/>
      <w:numFmt w:val="decimal"/>
      <w:lvlText w:val="%7."/>
      <w:lvlJc w:val="left"/>
      <w:pPr>
        <w:ind w:left="4954" w:hanging="360"/>
      </w:pPr>
    </w:lvl>
    <w:lvl w:ilvl="7" w:tplc="9940A3F8" w:tentative="1">
      <w:start w:val="1"/>
      <w:numFmt w:val="lowerLetter"/>
      <w:lvlText w:val="%8."/>
      <w:lvlJc w:val="left"/>
      <w:pPr>
        <w:ind w:left="5674" w:hanging="360"/>
      </w:pPr>
    </w:lvl>
    <w:lvl w:ilvl="8" w:tplc="07825562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36671245">
    <w:abstractNumId w:val="6"/>
  </w:num>
  <w:num w:numId="2" w16cid:durableId="1008170032">
    <w:abstractNumId w:val="1"/>
  </w:num>
  <w:num w:numId="3" w16cid:durableId="1059984861">
    <w:abstractNumId w:val="5"/>
  </w:num>
  <w:num w:numId="4" w16cid:durableId="135730169">
    <w:abstractNumId w:val="4"/>
  </w:num>
  <w:num w:numId="5" w16cid:durableId="1027410148">
    <w:abstractNumId w:val="2"/>
  </w:num>
  <w:num w:numId="6" w16cid:durableId="1247113598">
    <w:abstractNumId w:val="8"/>
  </w:num>
  <w:num w:numId="7" w16cid:durableId="1459255408">
    <w:abstractNumId w:val="3"/>
  </w:num>
  <w:num w:numId="8" w16cid:durableId="1756976954">
    <w:abstractNumId w:val="9"/>
  </w:num>
  <w:num w:numId="9" w16cid:durableId="618491930">
    <w:abstractNumId w:val="0"/>
  </w:num>
  <w:num w:numId="10" w16cid:durableId="1271816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FB"/>
    <w:rsid w:val="000007D4"/>
    <w:rsid w:val="00016FE7"/>
    <w:rsid w:val="00027CCC"/>
    <w:rsid w:val="00032BDC"/>
    <w:rsid w:val="00055D6A"/>
    <w:rsid w:val="00055EFE"/>
    <w:rsid w:val="000739E5"/>
    <w:rsid w:val="00075B24"/>
    <w:rsid w:val="000C7457"/>
    <w:rsid w:val="000E1635"/>
    <w:rsid w:val="0010104E"/>
    <w:rsid w:val="00162300"/>
    <w:rsid w:val="00164FD8"/>
    <w:rsid w:val="00165ECE"/>
    <w:rsid w:val="00172192"/>
    <w:rsid w:val="00181E02"/>
    <w:rsid w:val="00197397"/>
    <w:rsid w:val="001B141C"/>
    <w:rsid w:val="001B6D1A"/>
    <w:rsid w:val="001C5D14"/>
    <w:rsid w:val="001C70BA"/>
    <w:rsid w:val="00205334"/>
    <w:rsid w:val="00254B8A"/>
    <w:rsid w:val="00256E5D"/>
    <w:rsid w:val="0026039C"/>
    <w:rsid w:val="00284A98"/>
    <w:rsid w:val="002A6373"/>
    <w:rsid w:val="002C0FD2"/>
    <w:rsid w:val="002E0A01"/>
    <w:rsid w:val="002F168F"/>
    <w:rsid w:val="0031546F"/>
    <w:rsid w:val="00337C7B"/>
    <w:rsid w:val="00350CF0"/>
    <w:rsid w:val="00360A10"/>
    <w:rsid w:val="003622D1"/>
    <w:rsid w:val="00394A65"/>
    <w:rsid w:val="003D7110"/>
    <w:rsid w:val="00412631"/>
    <w:rsid w:val="00413970"/>
    <w:rsid w:val="00436EAF"/>
    <w:rsid w:val="00453DAE"/>
    <w:rsid w:val="004541D7"/>
    <w:rsid w:val="004631B8"/>
    <w:rsid w:val="00466242"/>
    <w:rsid w:val="004B3C87"/>
    <w:rsid w:val="004F4EFA"/>
    <w:rsid w:val="00524079"/>
    <w:rsid w:val="00580017"/>
    <w:rsid w:val="00592760"/>
    <w:rsid w:val="00592AF1"/>
    <w:rsid w:val="005A0E59"/>
    <w:rsid w:val="005C5714"/>
    <w:rsid w:val="005C6774"/>
    <w:rsid w:val="00620769"/>
    <w:rsid w:val="00634261"/>
    <w:rsid w:val="00662D9E"/>
    <w:rsid w:val="00665FA7"/>
    <w:rsid w:val="00677C49"/>
    <w:rsid w:val="00685559"/>
    <w:rsid w:val="006867EB"/>
    <w:rsid w:val="006D1525"/>
    <w:rsid w:val="006D7027"/>
    <w:rsid w:val="006D7F67"/>
    <w:rsid w:val="006F2B2F"/>
    <w:rsid w:val="00734656"/>
    <w:rsid w:val="00747F14"/>
    <w:rsid w:val="0075262C"/>
    <w:rsid w:val="0075473B"/>
    <w:rsid w:val="0075489D"/>
    <w:rsid w:val="00765069"/>
    <w:rsid w:val="00796EB6"/>
    <w:rsid w:val="00807C08"/>
    <w:rsid w:val="008164A6"/>
    <w:rsid w:val="008362D2"/>
    <w:rsid w:val="00842A25"/>
    <w:rsid w:val="008532BA"/>
    <w:rsid w:val="00877700"/>
    <w:rsid w:val="0087773B"/>
    <w:rsid w:val="008B57B6"/>
    <w:rsid w:val="008C0EF2"/>
    <w:rsid w:val="008D4A09"/>
    <w:rsid w:val="008E3F4B"/>
    <w:rsid w:val="008F3E5D"/>
    <w:rsid w:val="009068F3"/>
    <w:rsid w:val="009213EC"/>
    <w:rsid w:val="0094053B"/>
    <w:rsid w:val="00956C65"/>
    <w:rsid w:val="00973459"/>
    <w:rsid w:val="00973AB3"/>
    <w:rsid w:val="00982E0B"/>
    <w:rsid w:val="009A76C4"/>
    <w:rsid w:val="009B03BD"/>
    <w:rsid w:val="009B7654"/>
    <w:rsid w:val="00A02191"/>
    <w:rsid w:val="00A0568D"/>
    <w:rsid w:val="00A07EF0"/>
    <w:rsid w:val="00A34EFB"/>
    <w:rsid w:val="00A54033"/>
    <w:rsid w:val="00A7661D"/>
    <w:rsid w:val="00A86DFB"/>
    <w:rsid w:val="00AB1778"/>
    <w:rsid w:val="00AC5707"/>
    <w:rsid w:val="00AF4EDA"/>
    <w:rsid w:val="00B0746A"/>
    <w:rsid w:val="00B35DCA"/>
    <w:rsid w:val="00B36668"/>
    <w:rsid w:val="00B37B19"/>
    <w:rsid w:val="00B37B76"/>
    <w:rsid w:val="00B814E2"/>
    <w:rsid w:val="00BC5CBB"/>
    <w:rsid w:val="00BD1F33"/>
    <w:rsid w:val="00BD3E95"/>
    <w:rsid w:val="00C12FA8"/>
    <w:rsid w:val="00C14459"/>
    <w:rsid w:val="00C15CC5"/>
    <w:rsid w:val="00C23017"/>
    <w:rsid w:val="00C33035"/>
    <w:rsid w:val="00C52BEF"/>
    <w:rsid w:val="00C75990"/>
    <w:rsid w:val="00C845CC"/>
    <w:rsid w:val="00C90935"/>
    <w:rsid w:val="00CB5F7D"/>
    <w:rsid w:val="00CD2738"/>
    <w:rsid w:val="00CF357A"/>
    <w:rsid w:val="00CF5769"/>
    <w:rsid w:val="00CF6BC2"/>
    <w:rsid w:val="00D30D81"/>
    <w:rsid w:val="00D64A51"/>
    <w:rsid w:val="00D72887"/>
    <w:rsid w:val="00DD0606"/>
    <w:rsid w:val="00DE294D"/>
    <w:rsid w:val="00DE637E"/>
    <w:rsid w:val="00E020C1"/>
    <w:rsid w:val="00E1466C"/>
    <w:rsid w:val="00E450BC"/>
    <w:rsid w:val="00E52DB0"/>
    <w:rsid w:val="00E6336F"/>
    <w:rsid w:val="00ED4FEB"/>
    <w:rsid w:val="00F014A5"/>
    <w:rsid w:val="00F071E9"/>
    <w:rsid w:val="00F22F44"/>
    <w:rsid w:val="00F269BB"/>
    <w:rsid w:val="00F3087C"/>
    <w:rsid w:val="00F368A4"/>
    <w:rsid w:val="00F61D65"/>
    <w:rsid w:val="00F85424"/>
    <w:rsid w:val="00F85D9B"/>
    <w:rsid w:val="00F912FE"/>
    <w:rsid w:val="00F91800"/>
    <w:rsid w:val="50A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7C50"/>
  <w15:docId w15:val="{C3CBD0BB-D688-8446-B948-35FA9CF6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E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4E2"/>
  </w:style>
  <w:style w:type="paragraph" w:styleId="Footer">
    <w:name w:val="footer"/>
    <w:basedOn w:val="Normal"/>
    <w:link w:val="FooterChar"/>
    <w:uiPriority w:val="99"/>
    <w:unhideWhenUsed/>
    <w:rsid w:val="00B81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4E2"/>
  </w:style>
  <w:style w:type="paragraph" w:styleId="ListParagraph">
    <w:name w:val="List Paragraph"/>
    <w:basedOn w:val="Normal"/>
    <w:uiPriority w:val="34"/>
    <w:qFormat/>
    <w:rsid w:val="00A54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A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A01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F014A5"/>
  </w:style>
  <w:style w:type="table" w:styleId="TableGrid">
    <w:name w:val="Table Grid"/>
    <w:basedOn w:val="TableNormal"/>
    <w:uiPriority w:val="39"/>
    <w:rsid w:val="00D7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4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6D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lt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lth.org/wp-content/uploads/2023/10/SP-ProducerGroupMemberListTemplate.xls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en@tilth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reen@tilth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sp.tilth.org/certificacion/proceso-de-certifica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b82e3-78e5-405c-a659-ffde13046da2" xsi:nil="true"/>
    <lcf76f155ced4ddcb4097134ff3c332f xmlns="26648405-a519-4d43-b6ff-f8d8753c7f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697E452440B48875CA8154178510A" ma:contentTypeVersion="13" ma:contentTypeDescription="Create a new document." ma:contentTypeScope="" ma:versionID="38904272030253864e346edc17c89c52">
  <xsd:schema xmlns:xsd="http://www.w3.org/2001/XMLSchema" xmlns:xs="http://www.w3.org/2001/XMLSchema" xmlns:p="http://schemas.microsoft.com/office/2006/metadata/properties" xmlns:ns2="26648405-a519-4d43-b6ff-f8d8753c7fc4" xmlns:ns3="421b82e3-78e5-405c-a659-ffde13046da2" targetNamespace="http://schemas.microsoft.com/office/2006/metadata/properties" ma:root="true" ma:fieldsID="c750e67c4a9e5fe18fe6cf617096b3e1" ns2:_="" ns3:_="">
    <xsd:import namespace="26648405-a519-4d43-b6ff-f8d8753c7fc4"/>
    <xsd:import namespace="421b82e3-78e5-405c-a659-ffde1304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8405-a519-4d43-b6ff-f8d8753c7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37c616-d66d-4d79-9108-01c18d452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82e3-78e5-405c-a659-ffde130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cc7c7c8-d449-4f5f-968f-474f01e507aa}" ma:internalName="TaxCatchAll" ma:showField="CatchAllData" ma:web="421b82e3-78e5-405c-a659-ffde13046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5CD1-EE30-4EBB-BD95-8E5F9191B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E7AE3-BD29-4942-A012-5F3A07484A84}">
  <ds:schemaRefs>
    <ds:schemaRef ds:uri="http://schemas.microsoft.com/office/2006/metadata/properties"/>
    <ds:schemaRef ds:uri="http://schemas.microsoft.com/office/infopath/2007/PartnerControls"/>
    <ds:schemaRef ds:uri="421b82e3-78e5-405c-a659-ffde13046da2"/>
    <ds:schemaRef ds:uri="26648405-a519-4d43-b6ff-f8d8753c7fc4"/>
  </ds:schemaRefs>
</ds:datastoreItem>
</file>

<file path=customXml/itemProps3.xml><?xml version="1.0" encoding="utf-8"?>
<ds:datastoreItem xmlns:ds="http://schemas.openxmlformats.org/officeDocument/2006/customXml" ds:itemID="{11C9C1B7-47EA-4045-8B60-65A3FEF8F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48405-a519-4d43-b6ff-f8d8753c7fc4"/>
    <ds:schemaRef ds:uri="421b82e3-78e5-405c-a659-ffde1304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Borjesson</cp:lastModifiedBy>
  <cp:revision>2</cp:revision>
  <dcterms:created xsi:type="dcterms:W3CDTF">2023-11-01T16:08:00Z</dcterms:created>
  <dcterms:modified xsi:type="dcterms:W3CDTF">2023-11-01T16:08:00Z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0x0101008A0697E452440B48875CA8154178510A</vt:lpwstr>
  </property>
  <property fmtid="{D5CDD505-2E9C-101B-9397-08002B2CF9AE}" pid="3" name="MediaServiceImageTags">
    <vt:lpwstr/>
  </property>
</Properties>
</file>